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0"/>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Registration No. 333-184137</w:t>
      </w:r>
    </w:p>
    <w:p>
      <w:pPr>
        <w:spacing w:after="0" w:line="9"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December 2, 2014</w:t>
      </w:r>
    </w:p>
    <w:p>
      <w:pPr>
        <w:spacing w:after="0" w:line="4" w:lineRule="exact"/>
        <w:rPr>
          <w:sz w:val="24"/>
          <w:szCs w:val="24"/>
          <w:color w:val="auto"/>
        </w:rPr>
      </w:pPr>
    </w:p>
    <w:tbl>
      <w:tblPr>
        <w:tblLayout w:type="fixed"/>
        <w:tblInd w:w="10" w:type="dxa"/>
        <w:tblCellMar>
          <w:top w:w="0" w:type="dxa"/>
          <w:left w:w="0" w:type="dxa"/>
          <w:bottom w:w="0" w:type="dxa"/>
          <w:right w:w="0" w:type="dxa"/>
        </w:tblCellMar>
      </w:tblPr>
      <w:tr>
        <w:trPr>
          <w:trHeight w:val="276"/>
        </w:trPr>
        <w:tc>
          <w:tcPr>
            <w:tcW w:w="3760" w:type="dxa"/>
            <w:vAlign w:val="bottom"/>
          </w:tcPr>
          <w:p>
            <w:pPr>
              <w:spacing w:after="0"/>
              <w:rPr>
                <w:sz w:val="23"/>
                <w:szCs w:val="23"/>
                <w:color w:val="auto"/>
              </w:rPr>
            </w:pPr>
          </w:p>
        </w:tc>
        <w:tc>
          <w:tcPr>
            <w:tcW w:w="7680" w:type="dxa"/>
            <w:vAlign w:val="bottom"/>
            <w:gridSpan w:val="3"/>
          </w:tcPr>
          <w:p>
            <w:pPr>
              <w:ind w:left="1060"/>
              <w:spacing w:after="0"/>
              <w:rPr>
                <w:sz w:val="20"/>
                <w:szCs w:val="20"/>
                <w:color w:val="auto"/>
              </w:rPr>
            </w:pPr>
            <w:r>
              <w:rPr>
                <w:rFonts w:ascii="Arial" w:cs="Arial" w:eastAsia="Arial" w:hAnsi="Arial"/>
                <w:sz w:val="24"/>
                <w:szCs w:val="24"/>
                <w:b w:val="1"/>
                <w:bCs w:val="1"/>
                <w:color w:val="auto"/>
              </w:rPr>
              <w:t>Final Term Sheet</w:t>
            </w:r>
          </w:p>
        </w:tc>
      </w:tr>
      <w:tr>
        <w:trPr>
          <w:trHeight w:val="216"/>
        </w:trPr>
        <w:tc>
          <w:tcPr>
            <w:tcW w:w="3760" w:type="dxa"/>
            <w:vAlign w:val="bottom"/>
          </w:tcPr>
          <w:p>
            <w:pPr>
              <w:spacing w:after="0"/>
              <w:rPr>
                <w:sz w:val="18"/>
                <w:szCs w:val="18"/>
                <w:color w:val="auto"/>
              </w:rPr>
            </w:pPr>
          </w:p>
        </w:tc>
        <w:tc>
          <w:tcPr>
            <w:tcW w:w="7680" w:type="dxa"/>
            <w:vAlign w:val="bottom"/>
            <w:gridSpan w:val="3"/>
          </w:tcPr>
          <w:p>
            <w:pPr>
              <w:ind w:left="320"/>
              <w:spacing w:after="0"/>
              <w:rPr>
                <w:sz w:val="20"/>
                <w:szCs w:val="20"/>
                <w:color w:val="auto"/>
              </w:rPr>
            </w:pPr>
            <w:r>
              <w:rPr>
                <w:rFonts w:ascii="Arial" w:cs="Arial" w:eastAsia="Arial" w:hAnsi="Arial"/>
                <w:sz w:val="18"/>
                <w:szCs w:val="18"/>
                <w:b w:val="1"/>
                <w:bCs w:val="1"/>
                <w:color w:val="auto"/>
              </w:rPr>
              <w:t>$500,000,000 2.600% Senior Notes due 2019</w:t>
            </w:r>
          </w:p>
        </w:tc>
      </w:tr>
      <w:tr>
        <w:trPr>
          <w:trHeight w:val="228"/>
        </w:trPr>
        <w:tc>
          <w:tcPr>
            <w:tcW w:w="3760" w:type="dxa"/>
            <w:vAlign w:val="bottom"/>
          </w:tcPr>
          <w:p>
            <w:pPr>
              <w:spacing w:after="0"/>
              <w:rPr>
                <w:sz w:val="19"/>
                <w:szCs w:val="19"/>
                <w:color w:val="auto"/>
              </w:rPr>
            </w:pPr>
          </w:p>
        </w:tc>
        <w:tc>
          <w:tcPr>
            <w:tcW w:w="7680" w:type="dxa"/>
            <w:vAlign w:val="bottom"/>
            <w:gridSpan w:val="3"/>
          </w:tcPr>
          <w:p>
            <w:pPr>
              <w:ind w:left="320"/>
              <w:spacing w:after="0"/>
              <w:rPr>
                <w:sz w:val="20"/>
                <w:szCs w:val="20"/>
                <w:color w:val="auto"/>
              </w:rPr>
            </w:pPr>
            <w:r>
              <w:rPr>
                <w:rFonts w:ascii="Arial" w:cs="Arial" w:eastAsia="Arial" w:hAnsi="Arial"/>
                <w:sz w:val="18"/>
                <w:szCs w:val="18"/>
                <w:b w:val="1"/>
                <w:bCs w:val="1"/>
                <w:color w:val="auto"/>
              </w:rPr>
              <w:t>$650,000,000 4.900% Senior Notes due 2045</w:t>
            </w:r>
          </w:p>
        </w:tc>
      </w:tr>
      <w:tr>
        <w:trPr>
          <w:trHeight w:val="205"/>
        </w:trPr>
        <w:tc>
          <w:tcPr>
            <w:tcW w:w="3760" w:type="dxa"/>
            <w:vAlign w:val="bottom"/>
            <w:tcBorders>
              <w:bottom w:val="single" w:sz="8" w:color="auto"/>
            </w:tcBorders>
          </w:tcPr>
          <w:p>
            <w:pPr>
              <w:spacing w:after="0"/>
              <w:rPr>
                <w:sz w:val="17"/>
                <w:szCs w:val="17"/>
                <w:color w:val="auto"/>
              </w:rPr>
            </w:pPr>
          </w:p>
        </w:tc>
        <w:tc>
          <w:tcPr>
            <w:tcW w:w="7680" w:type="dxa"/>
            <w:vAlign w:val="bottom"/>
            <w:tcBorders>
              <w:bottom w:val="single" w:sz="8" w:color="auto"/>
            </w:tcBorders>
            <w:gridSpan w:val="3"/>
          </w:tcPr>
          <w:p>
            <w:pPr>
              <w:spacing w:after="0"/>
              <w:rPr>
                <w:sz w:val="17"/>
                <w:szCs w:val="17"/>
                <w:color w:val="auto"/>
              </w:rPr>
            </w:pP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Issuers:</w:t>
            </w:r>
          </w:p>
        </w:tc>
        <w:tc>
          <w:tcPr>
            <w:tcW w:w="7680" w:type="dxa"/>
            <w:vAlign w:val="bottom"/>
            <w:tcBorders>
              <w:bottom w:val="single" w:sz="8" w:color="auto"/>
              <w:right w:val="single" w:sz="8" w:color="auto"/>
            </w:tcBorders>
            <w:gridSpan w:val="3"/>
          </w:tcPr>
          <w:p>
            <w:pPr>
              <w:ind w:left="940"/>
              <w:spacing w:after="0"/>
              <w:rPr>
                <w:sz w:val="20"/>
                <w:szCs w:val="20"/>
                <w:color w:val="auto"/>
              </w:rPr>
            </w:pPr>
            <w:r>
              <w:rPr>
                <w:rFonts w:ascii="Arial" w:cs="Arial" w:eastAsia="Arial" w:hAnsi="Arial"/>
                <w:sz w:val="18"/>
                <w:szCs w:val="18"/>
                <w:color w:val="auto"/>
              </w:rPr>
              <w:t>Plains All American Pipeline, L.P. and PAA Finance Corp.</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Ratings (Moody’s / S&amp;P):*</w:t>
            </w:r>
          </w:p>
        </w:tc>
        <w:tc>
          <w:tcPr>
            <w:tcW w:w="7680" w:type="dxa"/>
            <w:vAlign w:val="bottom"/>
            <w:tcBorders>
              <w:bottom w:val="single" w:sz="8" w:color="auto"/>
              <w:right w:val="single" w:sz="8" w:color="auto"/>
            </w:tcBorders>
            <w:gridSpan w:val="3"/>
          </w:tcPr>
          <w:p>
            <w:pPr>
              <w:ind w:left="940"/>
              <w:spacing w:after="0"/>
              <w:rPr>
                <w:sz w:val="20"/>
                <w:szCs w:val="20"/>
                <w:color w:val="auto"/>
              </w:rPr>
            </w:pPr>
            <w:r>
              <w:rPr>
                <w:rFonts w:ascii="Arial" w:cs="Arial" w:eastAsia="Arial" w:hAnsi="Arial"/>
                <w:sz w:val="18"/>
                <w:szCs w:val="18"/>
                <w:color w:val="auto"/>
              </w:rPr>
              <w:t>Baa2 / BBB+</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Security Type:</w:t>
            </w:r>
          </w:p>
        </w:tc>
        <w:tc>
          <w:tcPr>
            <w:tcW w:w="7680" w:type="dxa"/>
            <w:vAlign w:val="bottom"/>
            <w:tcBorders>
              <w:bottom w:val="single" w:sz="8" w:color="auto"/>
              <w:right w:val="single" w:sz="8" w:color="auto"/>
            </w:tcBorders>
            <w:gridSpan w:val="3"/>
          </w:tcPr>
          <w:p>
            <w:pPr>
              <w:ind w:left="940"/>
              <w:spacing w:after="0"/>
              <w:rPr>
                <w:sz w:val="20"/>
                <w:szCs w:val="20"/>
                <w:color w:val="auto"/>
              </w:rPr>
            </w:pPr>
            <w:r>
              <w:rPr>
                <w:rFonts w:ascii="Arial" w:cs="Arial" w:eastAsia="Arial" w:hAnsi="Arial"/>
                <w:sz w:val="18"/>
                <w:szCs w:val="18"/>
                <w:color w:val="auto"/>
              </w:rPr>
              <w:t>Senior Unsecured Notes</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Legal Format:</w:t>
            </w:r>
          </w:p>
        </w:tc>
        <w:tc>
          <w:tcPr>
            <w:tcW w:w="7680" w:type="dxa"/>
            <w:vAlign w:val="bottom"/>
            <w:tcBorders>
              <w:bottom w:val="single" w:sz="8" w:color="auto"/>
              <w:right w:val="single" w:sz="8" w:color="auto"/>
            </w:tcBorders>
            <w:gridSpan w:val="3"/>
          </w:tcPr>
          <w:p>
            <w:pPr>
              <w:ind w:left="940"/>
              <w:spacing w:after="0"/>
              <w:rPr>
                <w:sz w:val="20"/>
                <w:szCs w:val="20"/>
                <w:color w:val="auto"/>
              </w:rPr>
            </w:pPr>
            <w:r>
              <w:rPr>
                <w:rFonts w:ascii="Arial" w:cs="Arial" w:eastAsia="Arial" w:hAnsi="Arial"/>
                <w:sz w:val="18"/>
                <w:szCs w:val="18"/>
                <w:color w:val="auto"/>
              </w:rPr>
              <w:t>SEC Registered</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Pricing Date:</w:t>
            </w:r>
          </w:p>
        </w:tc>
        <w:tc>
          <w:tcPr>
            <w:tcW w:w="7680" w:type="dxa"/>
            <w:vAlign w:val="bottom"/>
            <w:tcBorders>
              <w:bottom w:val="single" w:sz="8" w:color="auto"/>
              <w:right w:val="single" w:sz="8" w:color="auto"/>
            </w:tcBorders>
            <w:gridSpan w:val="3"/>
          </w:tcPr>
          <w:p>
            <w:pPr>
              <w:ind w:left="940"/>
              <w:spacing w:after="0"/>
              <w:rPr>
                <w:sz w:val="20"/>
                <w:szCs w:val="20"/>
                <w:color w:val="auto"/>
              </w:rPr>
            </w:pPr>
            <w:r>
              <w:rPr>
                <w:rFonts w:ascii="Arial" w:cs="Arial" w:eastAsia="Arial" w:hAnsi="Arial"/>
                <w:sz w:val="18"/>
                <w:szCs w:val="18"/>
                <w:color w:val="auto"/>
              </w:rPr>
              <w:t>December 2, 2014</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Settlement Date (T+5):</w:t>
            </w:r>
          </w:p>
        </w:tc>
        <w:tc>
          <w:tcPr>
            <w:tcW w:w="7680" w:type="dxa"/>
            <w:vAlign w:val="bottom"/>
            <w:tcBorders>
              <w:bottom w:val="single" w:sz="8" w:color="auto"/>
              <w:right w:val="single" w:sz="8" w:color="auto"/>
            </w:tcBorders>
            <w:gridSpan w:val="3"/>
          </w:tcPr>
          <w:p>
            <w:pPr>
              <w:ind w:left="940"/>
              <w:spacing w:after="0"/>
              <w:rPr>
                <w:sz w:val="20"/>
                <w:szCs w:val="20"/>
                <w:color w:val="auto"/>
              </w:rPr>
            </w:pPr>
            <w:r>
              <w:rPr>
                <w:rFonts w:ascii="Arial" w:cs="Arial" w:eastAsia="Arial" w:hAnsi="Arial"/>
                <w:sz w:val="18"/>
                <w:szCs w:val="18"/>
                <w:color w:val="auto"/>
              </w:rPr>
              <w:t>December 9, 2014</w:t>
            </w:r>
          </w:p>
        </w:tc>
      </w:tr>
      <w:tr>
        <w:trPr>
          <w:trHeight w:val="201"/>
        </w:trPr>
        <w:tc>
          <w:tcPr>
            <w:tcW w:w="376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rPr>
              <w:t>Maturity Date:</w:t>
            </w:r>
          </w:p>
        </w:tc>
        <w:tc>
          <w:tcPr>
            <w:tcW w:w="1300" w:type="dxa"/>
            <w:vAlign w:val="bottom"/>
          </w:tcPr>
          <w:p>
            <w:pPr>
              <w:ind w:left="940"/>
              <w:spacing w:after="0" w:line="201" w:lineRule="exact"/>
              <w:rPr>
                <w:sz w:val="20"/>
                <w:szCs w:val="20"/>
                <w:color w:val="auto"/>
              </w:rPr>
            </w:pPr>
            <w:r>
              <w:rPr>
                <w:rFonts w:ascii="Arial" w:cs="Arial" w:eastAsia="Arial" w:hAnsi="Arial"/>
                <w:sz w:val="18"/>
                <w:szCs w:val="18"/>
                <w:color w:val="auto"/>
                <w:w w:val="84"/>
              </w:rPr>
              <w:t>2019</w:t>
            </w:r>
          </w:p>
        </w:tc>
        <w:tc>
          <w:tcPr>
            <w:tcW w:w="6380" w:type="dxa"/>
            <w:vAlign w:val="bottom"/>
            <w:tcBorders>
              <w:right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Notes: December 15, 2019</w:t>
            </w:r>
          </w:p>
        </w:tc>
      </w:tr>
      <w:tr>
        <w:trPr>
          <w:trHeight w:val="231"/>
        </w:trPr>
        <w:tc>
          <w:tcPr>
            <w:tcW w:w="3760" w:type="dxa"/>
            <w:vAlign w:val="bottom"/>
            <w:tcBorders>
              <w:left w:val="single" w:sz="8" w:color="auto"/>
              <w:bottom w:val="single" w:sz="8" w:color="auto"/>
            </w:tcBorders>
          </w:tcPr>
          <w:p>
            <w:pPr>
              <w:spacing w:after="0"/>
              <w:rPr>
                <w:sz w:val="20"/>
                <w:szCs w:val="20"/>
                <w:color w:val="auto"/>
              </w:rPr>
            </w:pP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84"/>
              </w:rPr>
              <w:t>2045</w:t>
            </w:r>
          </w:p>
        </w:tc>
        <w:tc>
          <w:tcPr>
            <w:tcW w:w="63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Notes: February 15, 2045</w:t>
            </w:r>
          </w:p>
        </w:tc>
      </w:tr>
      <w:tr>
        <w:trPr>
          <w:trHeight w:val="208"/>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Principal Amount:</w:t>
            </w:r>
          </w:p>
        </w:tc>
        <w:tc>
          <w:tcPr>
            <w:tcW w:w="1300" w:type="dxa"/>
            <w:vAlign w:val="bottom"/>
          </w:tcPr>
          <w:p>
            <w:pPr>
              <w:ind w:left="940"/>
              <w:spacing w:after="0"/>
              <w:rPr>
                <w:sz w:val="20"/>
                <w:szCs w:val="20"/>
                <w:color w:val="auto"/>
              </w:rPr>
            </w:pPr>
            <w:r>
              <w:rPr>
                <w:rFonts w:ascii="Arial" w:cs="Arial" w:eastAsia="Arial" w:hAnsi="Arial"/>
                <w:sz w:val="18"/>
                <w:szCs w:val="18"/>
                <w:color w:val="auto"/>
                <w:w w:val="84"/>
              </w:rPr>
              <w:t>2019</w:t>
            </w:r>
          </w:p>
        </w:tc>
        <w:tc>
          <w:tcPr>
            <w:tcW w:w="63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Notes: $500,000,000</w:t>
            </w:r>
          </w:p>
        </w:tc>
      </w:tr>
      <w:tr>
        <w:trPr>
          <w:trHeight w:val="231"/>
        </w:trPr>
        <w:tc>
          <w:tcPr>
            <w:tcW w:w="3760" w:type="dxa"/>
            <w:vAlign w:val="bottom"/>
            <w:tcBorders>
              <w:left w:val="single" w:sz="8" w:color="auto"/>
              <w:bottom w:val="single" w:sz="8" w:color="auto"/>
            </w:tcBorders>
          </w:tcPr>
          <w:p>
            <w:pPr>
              <w:spacing w:after="0"/>
              <w:rPr>
                <w:sz w:val="20"/>
                <w:szCs w:val="20"/>
                <w:color w:val="auto"/>
              </w:rPr>
            </w:pP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84"/>
              </w:rPr>
              <w:t>2045</w:t>
            </w:r>
          </w:p>
        </w:tc>
        <w:tc>
          <w:tcPr>
            <w:tcW w:w="63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Notes: $650,000,000</w:t>
            </w:r>
          </w:p>
        </w:tc>
      </w:tr>
      <w:tr>
        <w:trPr>
          <w:trHeight w:val="208"/>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Benchmark Treasury:</w:t>
            </w:r>
          </w:p>
        </w:tc>
        <w:tc>
          <w:tcPr>
            <w:tcW w:w="1300" w:type="dxa"/>
            <w:vAlign w:val="bottom"/>
          </w:tcPr>
          <w:p>
            <w:pPr>
              <w:ind w:left="940"/>
              <w:spacing w:after="0"/>
              <w:rPr>
                <w:sz w:val="20"/>
                <w:szCs w:val="20"/>
                <w:color w:val="auto"/>
              </w:rPr>
            </w:pPr>
            <w:r>
              <w:rPr>
                <w:rFonts w:ascii="Arial" w:cs="Arial" w:eastAsia="Arial" w:hAnsi="Arial"/>
                <w:sz w:val="18"/>
                <w:szCs w:val="18"/>
                <w:color w:val="auto"/>
                <w:w w:val="84"/>
              </w:rPr>
              <w:t>2019</w:t>
            </w:r>
          </w:p>
        </w:tc>
        <w:tc>
          <w:tcPr>
            <w:tcW w:w="63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Notes: UST 1.500% due November 30, 2019</w:t>
            </w:r>
          </w:p>
        </w:tc>
      </w:tr>
      <w:tr>
        <w:trPr>
          <w:trHeight w:val="231"/>
        </w:trPr>
        <w:tc>
          <w:tcPr>
            <w:tcW w:w="3760" w:type="dxa"/>
            <w:vAlign w:val="bottom"/>
            <w:tcBorders>
              <w:left w:val="single" w:sz="8" w:color="auto"/>
              <w:bottom w:val="single" w:sz="8" w:color="auto"/>
            </w:tcBorders>
          </w:tcPr>
          <w:p>
            <w:pPr>
              <w:spacing w:after="0"/>
              <w:rPr>
                <w:sz w:val="20"/>
                <w:szCs w:val="20"/>
                <w:color w:val="auto"/>
              </w:rPr>
            </w:pP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84"/>
              </w:rPr>
              <w:t>2045</w:t>
            </w:r>
          </w:p>
        </w:tc>
        <w:tc>
          <w:tcPr>
            <w:tcW w:w="63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Notes: UST 3.125% due August 15, 2044</w:t>
            </w:r>
          </w:p>
        </w:tc>
      </w:tr>
      <w:tr>
        <w:trPr>
          <w:trHeight w:val="208"/>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Benchmark Treasury Yield:</w:t>
            </w:r>
          </w:p>
        </w:tc>
        <w:tc>
          <w:tcPr>
            <w:tcW w:w="1300" w:type="dxa"/>
            <w:vAlign w:val="bottom"/>
          </w:tcPr>
          <w:p>
            <w:pPr>
              <w:ind w:left="940"/>
              <w:spacing w:after="0"/>
              <w:rPr>
                <w:sz w:val="20"/>
                <w:szCs w:val="20"/>
                <w:color w:val="auto"/>
              </w:rPr>
            </w:pPr>
            <w:r>
              <w:rPr>
                <w:rFonts w:ascii="Arial" w:cs="Arial" w:eastAsia="Arial" w:hAnsi="Arial"/>
                <w:sz w:val="18"/>
                <w:szCs w:val="18"/>
                <w:color w:val="auto"/>
                <w:w w:val="84"/>
              </w:rPr>
              <w:t>2019</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Notes:</w:t>
            </w:r>
          </w:p>
        </w:tc>
        <w:tc>
          <w:tcPr>
            <w:tcW w:w="5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1.590%</w:t>
            </w:r>
          </w:p>
        </w:tc>
      </w:tr>
      <w:tr>
        <w:trPr>
          <w:trHeight w:val="231"/>
        </w:trPr>
        <w:tc>
          <w:tcPr>
            <w:tcW w:w="3760" w:type="dxa"/>
            <w:vAlign w:val="bottom"/>
            <w:tcBorders>
              <w:left w:val="single" w:sz="8" w:color="auto"/>
              <w:bottom w:val="single" w:sz="8" w:color="auto"/>
            </w:tcBorders>
          </w:tcPr>
          <w:p>
            <w:pPr>
              <w:spacing w:after="0"/>
              <w:rPr>
                <w:sz w:val="20"/>
                <w:szCs w:val="20"/>
                <w:color w:val="auto"/>
              </w:rPr>
            </w:pP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84"/>
              </w:rPr>
              <w:t>2045</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Notes:</w:t>
            </w: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3.007%</w:t>
            </w:r>
          </w:p>
        </w:tc>
      </w:tr>
      <w:tr>
        <w:trPr>
          <w:trHeight w:val="208"/>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Spread to Benchmark Treasury:</w:t>
            </w:r>
          </w:p>
        </w:tc>
        <w:tc>
          <w:tcPr>
            <w:tcW w:w="1300" w:type="dxa"/>
            <w:vAlign w:val="bottom"/>
          </w:tcPr>
          <w:p>
            <w:pPr>
              <w:ind w:left="940"/>
              <w:spacing w:after="0"/>
              <w:rPr>
                <w:sz w:val="20"/>
                <w:szCs w:val="20"/>
                <w:color w:val="auto"/>
              </w:rPr>
            </w:pPr>
            <w:r>
              <w:rPr>
                <w:rFonts w:ascii="Arial" w:cs="Arial" w:eastAsia="Arial" w:hAnsi="Arial"/>
                <w:sz w:val="18"/>
                <w:szCs w:val="18"/>
                <w:color w:val="auto"/>
                <w:w w:val="84"/>
              </w:rPr>
              <w:t>2019</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Notes:</w:t>
            </w:r>
          </w:p>
        </w:tc>
        <w:tc>
          <w:tcPr>
            <w:tcW w:w="5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+105 bps</w:t>
            </w:r>
          </w:p>
        </w:tc>
      </w:tr>
      <w:tr>
        <w:trPr>
          <w:trHeight w:val="231"/>
        </w:trPr>
        <w:tc>
          <w:tcPr>
            <w:tcW w:w="3760" w:type="dxa"/>
            <w:vAlign w:val="bottom"/>
            <w:tcBorders>
              <w:left w:val="single" w:sz="8" w:color="auto"/>
              <w:bottom w:val="single" w:sz="8" w:color="auto"/>
            </w:tcBorders>
          </w:tcPr>
          <w:p>
            <w:pPr>
              <w:spacing w:after="0"/>
              <w:rPr>
                <w:sz w:val="20"/>
                <w:szCs w:val="20"/>
                <w:color w:val="auto"/>
              </w:rPr>
            </w:pP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84"/>
              </w:rPr>
              <w:t>2045</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Notes:</w:t>
            </w: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+190 bps</w:t>
            </w:r>
          </w:p>
        </w:tc>
      </w:tr>
      <w:tr>
        <w:trPr>
          <w:trHeight w:val="208"/>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Yield to Maturity:</w:t>
            </w:r>
          </w:p>
        </w:tc>
        <w:tc>
          <w:tcPr>
            <w:tcW w:w="1300" w:type="dxa"/>
            <w:vAlign w:val="bottom"/>
          </w:tcPr>
          <w:p>
            <w:pPr>
              <w:ind w:left="940"/>
              <w:spacing w:after="0"/>
              <w:rPr>
                <w:sz w:val="20"/>
                <w:szCs w:val="20"/>
                <w:color w:val="auto"/>
              </w:rPr>
            </w:pPr>
            <w:r>
              <w:rPr>
                <w:rFonts w:ascii="Arial" w:cs="Arial" w:eastAsia="Arial" w:hAnsi="Arial"/>
                <w:sz w:val="18"/>
                <w:szCs w:val="18"/>
                <w:color w:val="auto"/>
                <w:w w:val="84"/>
              </w:rPr>
              <w:t>2019</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Notes:</w:t>
            </w:r>
          </w:p>
        </w:tc>
        <w:tc>
          <w:tcPr>
            <w:tcW w:w="5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2.640%</w:t>
            </w:r>
          </w:p>
        </w:tc>
      </w:tr>
      <w:tr>
        <w:trPr>
          <w:trHeight w:val="231"/>
        </w:trPr>
        <w:tc>
          <w:tcPr>
            <w:tcW w:w="3760" w:type="dxa"/>
            <w:vAlign w:val="bottom"/>
            <w:tcBorders>
              <w:left w:val="single" w:sz="8" w:color="auto"/>
              <w:bottom w:val="single" w:sz="8" w:color="auto"/>
            </w:tcBorders>
          </w:tcPr>
          <w:p>
            <w:pPr>
              <w:spacing w:after="0"/>
              <w:rPr>
                <w:sz w:val="20"/>
                <w:szCs w:val="20"/>
                <w:color w:val="auto"/>
              </w:rPr>
            </w:pP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84"/>
              </w:rPr>
              <w:t>2045</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Notes:</w:t>
            </w: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4.907%</w:t>
            </w:r>
          </w:p>
        </w:tc>
      </w:tr>
      <w:tr>
        <w:trPr>
          <w:trHeight w:val="208"/>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Coupon:</w:t>
            </w:r>
          </w:p>
        </w:tc>
        <w:tc>
          <w:tcPr>
            <w:tcW w:w="1300" w:type="dxa"/>
            <w:vAlign w:val="bottom"/>
          </w:tcPr>
          <w:p>
            <w:pPr>
              <w:ind w:left="940"/>
              <w:spacing w:after="0"/>
              <w:rPr>
                <w:sz w:val="20"/>
                <w:szCs w:val="20"/>
                <w:color w:val="auto"/>
              </w:rPr>
            </w:pPr>
            <w:r>
              <w:rPr>
                <w:rFonts w:ascii="Arial" w:cs="Arial" w:eastAsia="Arial" w:hAnsi="Arial"/>
                <w:sz w:val="18"/>
                <w:szCs w:val="18"/>
                <w:color w:val="auto"/>
                <w:w w:val="84"/>
              </w:rPr>
              <w:t>2019</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Notes:</w:t>
            </w:r>
          </w:p>
        </w:tc>
        <w:tc>
          <w:tcPr>
            <w:tcW w:w="5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2.600%</w:t>
            </w:r>
          </w:p>
        </w:tc>
      </w:tr>
      <w:tr>
        <w:trPr>
          <w:trHeight w:val="231"/>
        </w:trPr>
        <w:tc>
          <w:tcPr>
            <w:tcW w:w="3760" w:type="dxa"/>
            <w:vAlign w:val="bottom"/>
            <w:tcBorders>
              <w:left w:val="single" w:sz="8" w:color="auto"/>
              <w:bottom w:val="single" w:sz="8" w:color="auto"/>
            </w:tcBorders>
          </w:tcPr>
          <w:p>
            <w:pPr>
              <w:spacing w:after="0"/>
              <w:rPr>
                <w:sz w:val="20"/>
                <w:szCs w:val="20"/>
                <w:color w:val="auto"/>
              </w:rPr>
            </w:pP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84"/>
              </w:rPr>
              <w:t>2045</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Notes:</w:t>
            </w: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4.900%</w:t>
            </w:r>
          </w:p>
        </w:tc>
      </w:tr>
      <w:tr>
        <w:trPr>
          <w:trHeight w:val="208"/>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Public Offering Price:</w:t>
            </w:r>
          </w:p>
        </w:tc>
        <w:tc>
          <w:tcPr>
            <w:tcW w:w="1300" w:type="dxa"/>
            <w:vAlign w:val="bottom"/>
          </w:tcPr>
          <w:p>
            <w:pPr>
              <w:ind w:left="940"/>
              <w:spacing w:after="0"/>
              <w:rPr>
                <w:sz w:val="20"/>
                <w:szCs w:val="20"/>
                <w:color w:val="auto"/>
              </w:rPr>
            </w:pPr>
            <w:r>
              <w:rPr>
                <w:rFonts w:ascii="Arial" w:cs="Arial" w:eastAsia="Arial" w:hAnsi="Arial"/>
                <w:sz w:val="18"/>
                <w:szCs w:val="18"/>
                <w:color w:val="auto"/>
                <w:w w:val="84"/>
              </w:rPr>
              <w:t>2019</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Notes:</w:t>
            </w:r>
          </w:p>
        </w:tc>
        <w:tc>
          <w:tcPr>
            <w:tcW w:w="5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99.813%</w:t>
            </w:r>
          </w:p>
        </w:tc>
      </w:tr>
      <w:tr>
        <w:trPr>
          <w:trHeight w:val="231"/>
        </w:trPr>
        <w:tc>
          <w:tcPr>
            <w:tcW w:w="3760" w:type="dxa"/>
            <w:vAlign w:val="bottom"/>
            <w:tcBorders>
              <w:left w:val="single" w:sz="8" w:color="auto"/>
              <w:bottom w:val="single" w:sz="8" w:color="auto"/>
            </w:tcBorders>
          </w:tcPr>
          <w:p>
            <w:pPr>
              <w:spacing w:after="0"/>
              <w:rPr>
                <w:sz w:val="20"/>
                <w:szCs w:val="20"/>
                <w:color w:val="auto"/>
              </w:rPr>
            </w:pP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84"/>
              </w:rPr>
              <w:t>2045</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Notes:</w:t>
            </w: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99.876%</w:t>
            </w:r>
          </w:p>
        </w:tc>
      </w:tr>
      <w:tr>
        <w:trPr>
          <w:trHeight w:val="208"/>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7"/>
              </w:rPr>
              <w:t>Net Proceeds (after deducting the underwriting</w:t>
            </w:r>
          </w:p>
        </w:tc>
        <w:tc>
          <w:tcPr>
            <w:tcW w:w="7680" w:type="dxa"/>
            <w:vAlign w:val="bottom"/>
            <w:tcBorders>
              <w:right w:val="single" w:sz="8" w:color="auto"/>
            </w:tcBorders>
            <w:gridSpan w:val="3"/>
          </w:tcPr>
          <w:p>
            <w:pPr>
              <w:ind w:left="940"/>
              <w:spacing w:after="0"/>
              <w:rPr>
                <w:sz w:val="20"/>
                <w:szCs w:val="20"/>
                <w:color w:val="auto"/>
              </w:rPr>
            </w:pPr>
            <w:r>
              <w:rPr>
                <w:rFonts w:ascii="Arial" w:cs="Arial" w:eastAsia="Arial" w:hAnsi="Arial"/>
                <w:sz w:val="18"/>
                <w:szCs w:val="18"/>
                <w:color w:val="auto"/>
              </w:rPr>
              <w:t>$1,138 million</w:t>
            </w:r>
          </w:p>
        </w:tc>
      </w:tr>
      <w:tr>
        <w:trPr>
          <w:trHeight w:val="216"/>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discount and estimated offering expenses) to</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80" w:type="dxa"/>
            <w:vAlign w:val="bottom"/>
            <w:tcBorders>
              <w:right w:val="single" w:sz="8" w:color="auto"/>
            </w:tcBorders>
          </w:tcPr>
          <w:p>
            <w:pPr>
              <w:spacing w:after="0"/>
              <w:rPr>
                <w:sz w:val="18"/>
                <w:szCs w:val="18"/>
                <w:color w:val="auto"/>
              </w:rPr>
            </w:pPr>
          </w:p>
        </w:tc>
      </w:tr>
      <w:tr>
        <w:trPr>
          <w:trHeight w:val="223"/>
        </w:trPr>
        <w:tc>
          <w:tcPr>
            <w:tcW w:w="37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the Partnership:</w:t>
            </w:r>
          </w:p>
        </w:tc>
        <w:tc>
          <w:tcPr>
            <w:tcW w:w="1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880" w:type="dxa"/>
            <w:vAlign w:val="bottom"/>
            <w:tcBorders>
              <w:bottom w:val="single" w:sz="8" w:color="auto"/>
              <w:right w:val="single" w:sz="8" w:color="auto"/>
            </w:tcBorders>
          </w:tcPr>
          <w:p>
            <w:pPr>
              <w:spacing w:after="0"/>
              <w:rPr>
                <w:sz w:val="19"/>
                <w:szCs w:val="19"/>
                <w:color w:val="auto"/>
              </w:rPr>
            </w:pPr>
          </w:p>
        </w:tc>
      </w:tr>
      <w:tr>
        <w:trPr>
          <w:trHeight w:val="202"/>
        </w:trPr>
        <w:tc>
          <w:tcPr>
            <w:tcW w:w="3760" w:type="dxa"/>
            <w:vAlign w:val="bottom"/>
            <w:tcBorders>
              <w:left w:val="single" w:sz="8" w:color="auto"/>
            </w:tcBorders>
          </w:tcPr>
          <w:p>
            <w:pPr>
              <w:ind w:left="120"/>
              <w:spacing w:after="0" w:line="202" w:lineRule="exact"/>
              <w:rPr>
                <w:sz w:val="20"/>
                <w:szCs w:val="20"/>
                <w:color w:val="auto"/>
              </w:rPr>
            </w:pPr>
            <w:r>
              <w:rPr>
                <w:rFonts w:ascii="Arial" w:cs="Arial" w:eastAsia="Arial" w:hAnsi="Arial"/>
                <w:sz w:val="18"/>
                <w:szCs w:val="18"/>
                <w:color w:val="auto"/>
              </w:rPr>
              <w:t>Make-Whole Call:</w:t>
            </w:r>
          </w:p>
        </w:tc>
        <w:tc>
          <w:tcPr>
            <w:tcW w:w="1300" w:type="dxa"/>
            <w:vAlign w:val="bottom"/>
          </w:tcPr>
          <w:p>
            <w:pPr>
              <w:ind w:left="940"/>
              <w:spacing w:after="0" w:line="202" w:lineRule="exact"/>
              <w:rPr>
                <w:sz w:val="20"/>
                <w:szCs w:val="20"/>
                <w:color w:val="auto"/>
              </w:rPr>
            </w:pPr>
            <w:r>
              <w:rPr>
                <w:rFonts w:ascii="Arial" w:cs="Arial" w:eastAsia="Arial" w:hAnsi="Arial"/>
                <w:sz w:val="18"/>
                <w:szCs w:val="18"/>
                <w:color w:val="auto"/>
                <w:w w:val="84"/>
              </w:rPr>
              <w:t>2019</w:t>
            </w:r>
          </w:p>
        </w:tc>
        <w:tc>
          <w:tcPr>
            <w:tcW w:w="500" w:type="dxa"/>
            <w:vAlign w:val="bottom"/>
          </w:tcPr>
          <w:p>
            <w:pPr>
              <w:ind w:left="20"/>
              <w:spacing w:after="0" w:line="202" w:lineRule="exact"/>
              <w:rPr>
                <w:sz w:val="20"/>
                <w:szCs w:val="20"/>
                <w:color w:val="auto"/>
              </w:rPr>
            </w:pPr>
            <w:r>
              <w:rPr>
                <w:rFonts w:ascii="Arial" w:cs="Arial" w:eastAsia="Arial" w:hAnsi="Arial"/>
                <w:sz w:val="18"/>
                <w:szCs w:val="18"/>
                <w:color w:val="auto"/>
                <w:w w:val="88"/>
              </w:rPr>
              <w:t>Notes:</w:t>
            </w:r>
          </w:p>
        </w:tc>
        <w:tc>
          <w:tcPr>
            <w:tcW w:w="58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T+20 bps</w:t>
            </w:r>
          </w:p>
        </w:tc>
      </w:tr>
      <w:tr>
        <w:trPr>
          <w:trHeight w:val="231"/>
        </w:trPr>
        <w:tc>
          <w:tcPr>
            <w:tcW w:w="3760" w:type="dxa"/>
            <w:vAlign w:val="bottom"/>
            <w:tcBorders>
              <w:left w:val="single" w:sz="8" w:color="auto"/>
              <w:bottom w:val="single" w:sz="8" w:color="auto"/>
            </w:tcBorders>
          </w:tcPr>
          <w:p>
            <w:pPr>
              <w:spacing w:after="0"/>
              <w:rPr>
                <w:sz w:val="20"/>
                <w:szCs w:val="20"/>
                <w:color w:val="auto"/>
              </w:rPr>
            </w:pP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84"/>
              </w:rPr>
              <w:t>2045</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Notes:</w:t>
            </w: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T+30 bps</w:t>
            </w:r>
          </w:p>
        </w:tc>
      </w:tr>
      <w:tr>
        <w:trPr>
          <w:trHeight w:val="208"/>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Call at Par:</w:t>
            </w:r>
          </w:p>
        </w:tc>
        <w:tc>
          <w:tcPr>
            <w:tcW w:w="1300" w:type="dxa"/>
            <w:vAlign w:val="bottom"/>
          </w:tcPr>
          <w:p>
            <w:pPr>
              <w:ind w:left="940"/>
              <w:spacing w:after="0"/>
              <w:rPr>
                <w:sz w:val="20"/>
                <w:szCs w:val="20"/>
                <w:color w:val="auto"/>
              </w:rPr>
            </w:pPr>
            <w:r>
              <w:rPr>
                <w:rFonts w:ascii="Arial" w:cs="Arial" w:eastAsia="Arial" w:hAnsi="Arial"/>
                <w:sz w:val="18"/>
                <w:szCs w:val="18"/>
                <w:color w:val="auto"/>
                <w:w w:val="84"/>
              </w:rPr>
              <w:t>2019</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Notes:</w:t>
            </w:r>
          </w:p>
        </w:tc>
        <w:tc>
          <w:tcPr>
            <w:tcW w:w="5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On or after November 15, 2019</w:t>
            </w:r>
          </w:p>
        </w:tc>
      </w:tr>
      <w:tr>
        <w:trPr>
          <w:trHeight w:val="231"/>
        </w:trPr>
        <w:tc>
          <w:tcPr>
            <w:tcW w:w="3760" w:type="dxa"/>
            <w:vAlign w:val="bottom"/>
            <w:tcBorders>
              <w:left w:val="single" w:sz="8" w:color="auto"/>
              <w:bottom w:val="single" w:sz="8" w:color="auto"/>
            </w:tcBorders>
          </w:tcPr>
          <w:p>
            <w:pPr>
              <w:spacing w:after="0"/>
              <w:rPr>
                <w:sz w:val="20"/>
                <w:szCs w:val="20"/>
                <w:color w:val="auto"/>
              </w:rPr>
            </w:pP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84"/>
              </w:rPr>
              <w:t>2045</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Notes:</w:t>
            </w: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On or after August 15, 2044</w:t>
            </w:r>
          </w:p>
        </w:tc>
      </w:tr>
      <w:tr>
        <w:trPr>
          <w:trHeight w:val="208"/>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Interest Payment Dates:</w:t>
            </w:r>
          </w:p>
        </w:tc>
        <w:tc>
          <w:tcPr>
            <w:tcW w:w="1300" w:type="dxa"/>
            <w:vAlign w:val="bottom"/>
          </w:tcPr>
          <w:p>
            <w:pPr>
              <w:ind w:left="940"/>
              <w:spacing w:after="0"/>
              <w:rPr>
                <w:sz w:val="20"/>
                <w:szCs w:val="20"/>
                <w:color w:val="auto"/>
              </w:rPr>
            </w:pPr>
            <w:r>
              <w:rPr>
                <w:rFonts w:ascii="Arial" w:cs="Arial" w:eastAsia="Arial" w:hAnsi="Arial"/>
                <w:sz w:val="18"/>
                <w:szCs w:val="18"/>
                <w:color w:val="auto"/>
                <w:w w:val="84"/>
              </w:rPr>
              <w:t>2019</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Notes:</w:t>
            </w:r>
          </w:p>
        </w:tc>
        <w:tc>
          <w:tcPr>
            <w:tcW w:w="5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June 15 and December 15, beginning on June 15, 2015</w:t>
            </w:r>
          </w:p>
        </w:tc>
      </w:tr>
      <w:tr>
        <w:trPr>
          <w:trHeight w:val="231"/>
        </w:trPr>
        <w:tc>
          <w:tcPr>
            <w:tcW w:w="3760" w:type="dxa"/>
            <w:vAlign w:val="bottom"/>
            <w:tcBorders>
              <w:left w:val="single" w:sz="8" w:color="auto"/>
              <w:bottom w:val="single" w:sz="8" w:color="auto"/>
            </w:tcBorders>
          </w:tcPr>
          <w:p>
            <w:pPr>
              <w:spacing w:after="0"/>
              <w:rPr>
                <w:sz w:val="20"/>
                <w:szCs w:val="20"/>
                <w:color w:val="auto"/>
              </w:rPr>
            </w:pP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84"/>
              </w:rPr>
              <w:t>2045</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Notes:</w:t>
            </w: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February 15 and August 15, beginning on August 15, 2015</w:t>
            </w:r>
          </w:p>
        </w:tc>
      </w:tr>
      <w:tr>
        <w:trPr>
          <w:trHeight w:val="208"/>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CUSIP / ISIN:</w:t>
            </w:r>
          </w:p>
        </w:tc>
        <w:tc>
          <w:tcPr>
            <w:tcW w:w="1800" w:type="dxa"/>
            <w:vAlign w:val="bottom"/>
            <w:gridSpan w:val="2"/>
          </w:tcPr>
          <w:p>
            <w:pPr>
              <w:ind w:left="940"/>
              <w:spacing w:after="0"/>
              <w:rPr>
                <w:sz w:val="20"/>
                <w:szCs w:val="20"/>
                <w:color w:val="auto"/>
              </w:rPr>
            </w:pPr>
            <w:r>
              <w:rPr>
                <w:rFonts w:ascii="Arial" w:cs="Arial" w:eastAsia="Arial" w:hAnsi="Arial"/>
                <w:sz w:val="18"/>
                <w:szCs w:val="18"/>
                <w:color w:val="auto"/>
                <w:w w:val="86"/>
              </w:rPr>
              <w:t>2019 Notes:</w:t>
            </w:r>
          </w:p>
        </w:tc>
        <w:tc>
          <w:tcPr>
            <w:tcW w:w="5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72650R BG6 / US72650R BG6</w:t>
            </w:r>
          </w:p>
        </w:tc>
      </w:tr>
      <w:tr>
        <w:trPr>
          <w:trHeight w:val="231"/>
        </w:trPr>
        <w:tc>
          <w:tcPr>
            <w:tcW w:w="3760" w:type="dxa"/>
            <w:vAlign w:val="bottom"/>
            <w:tcBorders>
              <w:left w:val="single" w:sz="8" w:color="auto"/>
              <w:bottom w:val="single" w:sz="8" w:color="auto"/>
            </w:tcBorders>
          </w:tcPr>
          <w:p>
            <w:pPr>
              <w:spacing w:after="0"/>
              <w:rPr>
                <w:sz w:val="20"/>
                <w:szCs w:val="20"/>
                <w:color w:val="auto"/>
              </w:rPr>
            </w:pPr>
          </w:p>
        </w:tc>
        <w:tc>
          <w:tcPr>
            <w:tcW w:w="1800" w:type="dxa"/>
            <w:vAlign w:val="bottom"/>
            <w:tcBorders>
              <w:bottom w:val="single" w:sz="8" w:color="auto"/>
            </w:tcBorders>
            <w:gridSpan w:val="2"/>
          </w:tcPr>
          <w:p>
            <w:pPr>
              <w:ind w:left="940"/>
              <w:spacing w:after="0"/>
              <w:rPr>
                <w:sz w:val="20"/>
                <w:szCs w:val="20"/>
                <w:color w:val="auto"/>
              </w:rPr>
            </w:pPr>
            <w:r>
              <w:rPr>
                <w:rFonts w:ascii="Arial" w:cs="Arial" w:eastAsia="Arial" w:hAnsi="Arial"/>
                <w:sz w:val="18"/>
                <w:szCs w:val="18"/>
                <w:color w:val="auto"/>
                <w:w w:val="86"/>
              </w:rPr>
              <w:t>2045 Notes:</w:t>
            </w: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72650R BH4 / US72650R BH49</w:t>
            </w:r>
          </w:p>
        </w:tc>
      </w:tr>
      <w:tr>
        <w:trPr>
          <w:trHeight w:val="208"/>
        </w:trPr>
        <w:tc>
          <w:tcPr>
            <w:tcW w:w="37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Joint Book-Running Managers:</w:t>
            </w:r>
          </w:p>
        </w:tc>
        <w:tc>
          <w:tcPr>
            <w:tcW w:w="7680" w:type="dxa"/>
            <w:vAlign w:val="bottom"/>
            <w:tcBorders>
              <w:right w:val="single" w:sz="8" w:color="auto"/>
            </w:tcBorders>
            <w:gridSpan w:val="3"/>
          </w:tcPr>
          <w:p>
            <w:pPr>
              <w:ind w:left="940"/>
              <w:spacing w:after="0"/>
              <w:rPr>
                <w:sz w:val="20"/>
                <w:szCs w:val="20"/>
                <w:color w:val="auto"/>
              </w:rPr>
            </w:pPr>
            <w:r>
              <w:rPr>
                <w:rFonts w:ascii="Arial" w:cs="Arial" w:eastAsia="Arial" w:hAnsi="Arial"/>
                <w:sz w:val="18"/>
                <w:szCs w:val="18"/>
                <w:color w:val="auto"/>
              </w:rPr>
              <w:t>Barclays Capital Inc.</w:t>
            </w:r>
          </w:p>
        </w:tc>
      </w:tr>
      <w:tr>
        <w:trPr>
          <w:trHeight w:val="216"/>
        </w:trPr>
        <w:tc>
          <w:tcPr>
            <w:tcW w:w="37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940"/>
              <w:spacing w:after="0"/>
              <w:rPr>
                <w:sz w:val="20"/>
                <w:szCs w:val="20"/>
                <w:color w:val="auto"/>
              </w:rPr>
            </w:pPr>
            <w:r>
              <w:rPr>
                <w:rFonts w:ascii="Arial" w:cs="Arial" w:eastAsia="Arial" w:hAnsi="Arial"/>
                <w:sz w:val="18"/>
                <w:szCs w:val="18"/>
                <w:color w:val="auto"/>
              </w:rPr>
              <w:t>SunTrust Robinson Humphrey, Inc.</w:t>
            </w:r>
          </w:p>
        </w:tc>
      </w:tr>
      <w:tr>
        <w:trPr>
          <w:trHeight w:val="216"/>
        </w:trPr>
        <w:tc>
          <w:tcPr>
            <w:tcW w:w="37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940"/>
              <w:spacing w:after="0"/>
              <w:rPr>
                <w:sz w:val="20"/>
                <w:szCs w:val="20"/>
                <w:color w:val="auto"/>
              </w:rPr>
            </w:pPr>
            <w:r>
              <w:rPr>
                <w:rFonts w:ascii="Arial" w:cs="Arial" w:eastAsia="Arial" w:hAnsi="Arial"/>
                <w:sz w:val="18"/>
                <w:szCs w:val="18"/>
                <w:color w:val="auto"/>
              </w:rPr>
              <w:t>Wells Fargo Securities, LLC</w:t>
            </w:r>
          </w:p>
        </w:tc>
      </w:tr>
      <w:tr>
        <w:trPr>
          <w:trHeight w:val="216"/>
        </w:trPr>
        <w:tc>
          <w:tcPr>
            <w:tcW w:w="37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940"/>
              <w:spacing w:after="0"/>
              <w:rPr>
                <w:sz w:val="20"/>
                <w:szCs w:val="20"/>
                <w:color w:val="auto"/>
              </w:rPr>
            </w:pPr>
            <w:r>
              <w:rPr>
                <w:rFonts w:ascii="Arial" w:cs="Arial" w:eastAsia="Arial" w:hAnsi="Arial"/>
                <w:sz w:val="18"/>
                <w:szCs w:val="18"/>
                <w:color w:val="auto"/>
              </w:rPr>
              <w:t>BBVA Securities Inc.</w:t>
            </w:r>
          </w:p>
        </w:tc>
      </w:tr>
      <w:tr>
        <w:trPr>
          <w:trHeight w:val="216"/>
        </w:trPr>
        <w:tc>
          <w:tcPr>
            <w:tcW w:w="37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940"/>
              <w:spacing w:after="0"/>
              <w:rPr>
                <w:sz w:val="20"/>
                <w:szCs w:val="20"/>
                <w:color w:val="auto"/>
              </w:rPr>
            </w:pPr>
            <w:r>
              <w:rPr>
                <w:rFonts w:ascii="Arial" w:cs="Arial" w:eastAsia="Arial" w:hAnsi="Arial"/>
                <w:sz w:val="18"/>
                <w:szCs w:val="18"/>
                <w:color w:val="auto"/>
              </w:rPr>
              <w:t>RBC Capital Markets, LLC</w:t>
            </w:r>
          </w:p>
        </w:tc>
      </w:tr>
      <w:tr>
        <w:trPr>
          <w:trHeight w:val="231"/>
        </w:trPr>
        <w:tc>
          <w:tcPr>
            <w:tcW w:w="3760" w:type="dxa"/>
            <w:vAlign w:val="bottom"/>
            <w:tcBorders>
              <w:left w:val="single" w:sz="8" w:color="auto"/>
              <w:bottom w:val="single" w:sz="8" w:color="auto"/>
            </w:tcBorders>
          </w:tcPr>
          <w:p>
            <w:pPr>
              <w:spacing w:after="0"/>
              <w:rPr>
                <w:sz w:val="20"/>
                <w:szCs w:val="20"/>
                <w:color w:val="auto"/>
              </w:rPr>
            </w:pPr>
          </w:p>
        </w:tc>
        <w:tc>
          <w:tcPr>
            <w:tcW w:w="7680" w:type="dxa"/>
            <w:vAlign w:val="bottom"/>
            <w:tcBorders>
              <w:bottom w:val="single" w:sz="8" w:color="auto"/>
              <w:right w:val="single" w:sz="8" w:color="auto"/>
            </w:tcBorders>
            <w:gridSpan w:val="3"/>
          </w:tcPr>
          <w:p>
            <w:pPr>
              <w:ind w:left="940"/>
              <w:spacing w:after="0"/>
              <w:rPr>
                <w:sz w:val="20"/>
                <w:szCs w:val="20"/>
                <w:color w:val="auto"/>
              </w:rPr>
            </w:pPr>
            <w:r>
              <w:rPr>
                <w:rFonts w:ascii="Arial" w:cs="Arial" w:eastAsia="Arial" w:hAnsi="Arial"/>
                <w:sz w:val="18"/>
                <w:szCs w:val="18"/>
                <w:color w:val="auto"/>
              </w:rPr>
              <w:t>SMBC Nikko Securities America, Inc.</w:t>
            </w:r>
          </w:p>
        </w:tc>
      </w:tr>
    </w:tbl>
    <w:p>
      <w:pPr>
        <w:sectPr>
          <w:pgSz w:w="11900" w:h="16838" w:orient="portrait"/>
          <w:cols w:equalWidth="0" w:num="1">
            <w:col w:w="11440"/>
          </w:cols>
          <w:pgMar w:left="240" w:top="239" w:right="21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1"/>
        </w:trPr>
        <w:tc>
          <w:tcPr>
            <w:tcW w:w="292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Co-Managers:</w:t>
            </w:r>
          </w:p>
        </w:tc>
        <w:tc>
          <w:tcPr>
            <w:tcW w:w="852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color w:val="auto"/>
              </w:rPr>
              <w:t>Deutsche Bank Securities Inc.</w:t>
            </w:r>
          </w:p>
        </w:tc>
      </w:tr>
      <w:tr>
        <w:trPr>
          <w:trHeight w:val="216"/>
        </w:trPr>
        <w:tc>
          <w:tcPr>
            <w:tcW w:w="2920" w:type="dxa"/>
            <w:vAlign w:val="bottom"/>
            <w:tcBorders>
              <w:left w:val="single" w:sz="8" w:color="auto"/>
            </w:tcBorders>
          </w:tcPr>
          <w:p>
            <w:pPr>
              <w:spacing w:after="0"/>
              <w:rPr>
                <w:sz w:val="18"/>
                <w:szCs w:val="18"/>
                <w:color w:val="auto"/>
              </w:rPr>
            </w:pPr>
          </w:p>
        </w:tc>
        <w:tc>
          <w:tcPr>
            <w:tcW w:w="85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Mitsubishi UFJ Securities (USA), Inc.</w:t>
            </w:r>
          </w:p>
        </w:tc>
      </w:tr>
      <w:tr>
        <w:trPr>
          <w:trHeight w:val="216"/>
        </w:trPr>
        <w:tc>
          <w:tcPr>
            <w:tcW w:w="2920" w:type="dxa"/>
            <w:vAlign w:val="bottom"/>
            <w:tcBorders>
              <w:left w:val="single" w:sz="8" w:color="auto"/>
            </w:tcBorders>
          </w:tcPr>
          <w:p>
            <w:pPr>
              <w:spacing w:after="0"/>
              <w:rPr>
                <w:sz w:val="18"/>
                <w:szCs w:val="18"/>
                <w:color w:val="auto"/>
              </w:rPr>
            </w:pPr>
          </w:p>
        </w:tc>
        <w:tc>
          <w:tcPr>
            <w:tcW w:w="85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Scotia Capital (USA) Inc.</w:t>
            </w:r>
          </w:p>
        </w:tc>
      </w:tr>
      <w:tr>
        <w:trPr>
          <w:trHeight w:val="216"/>
        </w:trPr>
        <w:tc>
          <w:tcPr>
            <w:tcW w:w="2920" w:type="dxa"/>
            <w:vAlign w:val="bottom"/>
            <w:tcBorders>
              <w:left w:val="single" w:sz="8" w:color="auto"/>
            </w:tcBorders>
          </w:tcPr>
          <w:p>
            <w:pPr>
              <w:spacing w:after="0"/>
              <w:rPr>
                <w:sz w:val="18"/>
                <w:szCs w:val="18"/>
                <w:color w:val="auto"/>
              </w:rPr>
            </w:pPr>
          </w:p>
        </w:tc>
        <w:tc>
          <w:tcPr>
            <w:tcW w:w="85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BMO Capital Markets Corp.</w:t>
            </w:r>
          </w:p>
        </w:tc>
      </w:tr>
      <w:tr>
        <w:trPr>
          <w:trHeight w:val="216"/>
        </w:trPr>
        <w:tc>
          <w:tcPr>
            <w:tcW w:w="2920" w:type="dxa"/>
            <w:vAlign w:val="bottom"/>
            <w:tcBorders>
              <w:left w:val="single" w:sz="8" w:color="auto"/>
            </w:tcBorders>
          </w:tcPr>
          <w:p>
            <w:pPr>
              <w:spacing w:after="0"/>
              <w:rPr>
                <w:sz w:val="18"/>
                <w:szCs w:val="18"/>
                <w:color w:val="auto"/>
              </w:rPr>
            </w:pPr>
          </w:p>
        </w:tc>
        <w:tc>
          <w:tcPr>
            <w:tcW w:w="85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CIBC World Markets Corp.</w:t>
            </w:r>
          </w:p>
        </w:tc>
      </w:tr>
      <w:tr>
        <w:trPr>
          <w:trHeight w:val="216"/>
        </w:trPr>
        <w:tc>
          <w:tcPr>
            <w:tcW w:w="2920" w:type="dxa"/>
            <w:vAlign w:val="bottom"/>
            <w:tcBorders>
              <w:left w:val="single" w:sz="8" w:color="auto"/>
            </w:tcBorders>
          </w:tcPr>
          <w:p>
            <w:pPr>
              <w:spacing w:after="0"/>
              <w:rPr>
                <w:sz w:val="18"/>
                <w:szCs w:val="18"/>
                <w:color w:val="auto"/>
              </w:rPr>
            </w:pPr>
          </w:p>
        </w:tc>
        <w:tc>
          <w:tcPr>
            <w:tcW w:w="85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Fifth Third Securities, Inc.</w:t>
            </w:r>
          </w:p>
        </w:tc>
      </w:tr>
      <w:tr>
        <w:trPr>
          <w:trHeight w:val="216"/>
        </w:trPr>
        <w:tc>
          <w:tcPr>
            <w:tcW w:w="2920" w:type="dxa"/>
            <w:vAlign w:val="bottom"/>
            <w:tcBorders>
              <w:left w:val="single" w:sz="8" w:color="auto"/>
            </w:tcBorders>
          </w:tcPr>
          <w:p>
            <w:pPr>
              <w:spacing w:after="0"/>
              <w:rPr>
                <w:sz w:val="18"/>
                <w:szCs w:val="18"/>
                <w:color w:val="auto"/>
              </w:rPr>
            </w:pPr>
          </w:p>
        </w:tc>
        <w:tc>
          <w:tcPr>
            <w:tcW w:w="85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ING Financial Markets LLC</w:t>
            </w:r>
          </w:p>
        </w:tc>
      </w:tr>
      <w:tr>
        <w:trPr>
          <w:trHeight w:val="216"/>
        </w:trPr>
        <w:tc>
          <w:tcPr>
            <w:tcW w:w="2920" w:type="dxa"/>
            <w:vAlign w:val="bottom"/>
            <w:tcBorders>
              <w:left w:val="single" w:sz="8" w:color="auto"/>
            </w:tcBorders>
          </w:tcPr>
          <w:p>
            <w:pPr>
              <w:spacing w:after="0"/>
              <w:rPr>
                <w:sz w:val="18"/>
                <w:szCs w:val="18"/>
                <w:color w:val="auto"/>
              </w:rPr>
            </w:pPr>
          </w:p>
        </w:tc>
        <w:tc>
          <w:tcPr>
            <w:tcW w:w="85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PNC Capital Markets LLC</w:t>
            </w:r>
          </w:p>
        </w:tc>
      </w:tr>
      <w:tr>
        <w:trPr>
          <w:trHeight w:val="216"/>
        </w:trPr>
        <w:tc>
          <w:tcPr>
            <w:tcW w:w="2920" w:type="dxa"/>
            <w:vAlign w:val="bottom"/>
            <w:tcBorders>
              <w:left w:val="single" w:sz="8" w:color="auto"/>
            </w:tcBorders>
          </w:tcPr>
          <w:p>
            <w:pPr>
              <w:spacing w:after="0"/>
              <w:rPr>
                <w:sz w:val="18"/>
                <w:szCs w:val="18"/>
                <w:color w:val="auto"/>
              </w:rPr>
            </w:pPr>
          </w:p>
        </w:tc>
        <w:tc>
          <w:tcPr>
            <w:tcW w:w="85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Regions Securities LLC</w:t>
            </w:r>
          </w:p>
        </w:tc>
      </w:tr>
      <w:tr>
        <w:trPr>
          <w:trHeight w:val="216"/>
        </w:trPr>
        <w:tc>
          <w:tcPr>
            <w:tcW w:w="2920" w:type="dxa"/>
            <w:vAlign w:val="bottom"/>
            <w:tcBorders>
              <w:left w:val="single" w:sz="8" w:color="auto"/>
            </w:tcBorders>
          </w:tcPr>
          <w:p>
            <w:pPr>
              <w:spacing w:after="0"/>
              <w:rPr>
                <w:sz w:val="18"/>
                <w:szCs w:val="18"/>
                <w:color w:val="auto"/>
              </w:rPr>
            </w:pPr>
          </w:p>
        </w:tc>
        <w:tc>
          <w:tcPr>
            <w:tcW w:w="85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SG Americas Securities, LLC</w:t>
            </w:r>
          </w:p>
        </w:tc>
      </w:tr>
      <w:tr>
        <w:trPr>
          <w:trHeight w:val="231"/>
        </w:trPr>
        <w:tc>
          <w:tcPr>
            <w:tcW w:w="2920" w:type="dxa"/>
            <w:vAlign w:val="bottom"/>
            <w:tcBorders>
              <w:left w:val="single" w:sz="8" w:color="auto"/>
              <w:bottom w:val="single" w:sz="8" w:color="auto"/>
            </w:tcBorders>
          </w:tcPr>
          <w:p>
            <w:pPr>
              <w:spacing w:after="0"/>
              <w:rPr>
                <w:sz w:val="20"/>
                <w:szCs w:val="20"/>
                <w:color w:val="auto"/>
              </w:rPr>
            </w:pPr>
          </w:p>
        </w:tc>
        <w:tc>
          <w:tcPr>
            <w:tcW w:w="8520" w:type="dxa"/>
            <w:vAlign w:val="bottom"/>
            <w:tcBorders>
              <w:bottom w:val="single" w:sz="8" w:color="auto"/>
              <w:right w:val="single" w:sz="8" w:color="auto"/>
            </w:tcBorders>
          </w:tcPr>
          <w:p>
            <w:pPr>
              <w:ind w:left="1780"/>
              <w:spacing w:after="0"/>
              <w:rPr>
                <w:sz w:val="20"/>
                <w:szCs w:val="20"/>
                <w:color w:val="auto"/>
              </w:rPr>
            </w:pPr>
            <w:r>
              <w:rPr>
                <w:rFonts w:ascii="Arial" w:cs="Arial" w:eastAsia="Arial" w:hAnsi="Arial"/>
                <w:sz w:val="18"/>
                <w:szCs w:val="18"/>
                <w:color w:val="auto"/>
              </w:rPr>
              <w:t>U.S. Bancorp Investments, Inc.</w:t>
            </w:r>
          </w:p>
        </w:tc>
      </w:tr>
    </w:tbl>
    <w:p>
      <w:pPr>
        <w:spacing w:after="0" w:line="73"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Note: A securities rating is not a recommendation to buy, sell or hold securities and may be revised or withdrawn at any time.</w:t>
      </w:r>
    </w:p>
    <w:p>
      <w:pPr>
        <w:spacing w:after="0" w:line="171"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Delivery of the notes is expected to be made against payment therefor on or about December 9, 2014, which is the fifth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1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Barclays Capital Inc. at 1-888-603-5847, SunTrust Robinson Humphrey, Inc. at 1-800-685-4786 or Wells Fargo Securities, LLC at 1-800-645-3751.</w:t>
      </w:r>
    </w:p>
    <w:sectPr>
      <w:pgSz w:w="11900" w:h="16838" w:orient="portrait"/>
      <w:cols w:equalWidth="0" w:num="1">
        <w:col w:w="11440"/>
      </w:cols>
      <w:pgMar w:left="240" w:top="26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2020-01-29T16:07:48Z</dcterms:created>
  <dcterms:modified xsi:type="dcterms:W3CDTF">2020-01-29T16:07:48Z</dcterms:modified>
</cp:coreProperties>
</file>