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All American Pipeline,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9"/>
              </w:rPr>
              <w:t>1-14569</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8"/>
                <w:szCs w:val="18"/>
                <w:b w:val="1"/>
                <w:bCs w:val="1"/>
                <w:color w:val="auto"/>
              </w:rPr>
              <w:t>76-0582150</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7"/>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190"/>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April 15, 2014, Plains All American Pipeline, L.P. (the “Partnership”) and PAA Finance Corp. (“PAA Finance,” and together with the Partnership, the “Issuers”) entered into an underwriting agreement (the “Underwriting Agreement”) with Citigroup Global Markets Inc., SunTrust Robinson Humphrey, Inc., UBS Securities LLC and Wells Fargo Securities, LLC, as representatives of the several underwriters named therein (collectively, the “Underwriters”), relating to the issuance and sale to the Underwriters of $700 million aggregate principal amount of 4.70% Senior Notes due 2044 (the “Notes”), subject to the terms and conditions therein.</w:t>
      </w:r>
    </w:p>
    <w:p>
      <w:pPr>
        <w:spacing w:after="0" w:line="184"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Notes are being offered and sold under the Issuers’ shelf registration statement on Form S-3 (Registration No. 333-184137) filed with the Securities and Exchange Commission on September 27, 2012 (the “Registration Statement”), and are described in a Prospectus Supplement dated April 15, 2014 to the Prospectus dated September 27, 2012, which is included in the Registration Statement.</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Notes will be issued pursuant to a supplemental indenture to be dated April 23, 2014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closing of the offering of the Notes is expected to occur on April 23, 2014, subject to customary closing conditions.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and is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10700" w:type="dxa"/>
            <w:vAlign w:val="bottom"/>
            <w:gridSpan w:val="3"/>
            <w:vMerge w:val="restart"/>
          </w:tcPr>
          <w:p>
            <w:pPr>
              <w:ind w:left="54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Number</w:t>
            </w:r>
          </w:p>
        </w:tc>
        <w:tc>
          <w:tcPr>
            <w:tcW w:w="10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1.1</w:t>
            </w:r>
          </w:p>
        </w:tc>
        <w:tc>
          <w:tcPr>
            <w:tcW w:w="107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Underwriting Agreement, dated April 15, 2014, by and among Plains All American Pipeline, L.P., PAA Finance Corp., and Citigroup Global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7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Markets Inc., SunTrust Robinson Humphrey, Inc., UBS Securities LLC and Wells Fargo Securities, LLC, as representatives of the several</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7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underwriters named therein.</w:t>
            </w:r>
          </w:p>
        </w:tc>
        <w:tc>
          <w:tcPr>
            <w:tcW w:w="0" w:type="dxa"/>
            <w:vAlign w:val="bottom"/>
          </w:tcPr>
          <w:p>
            <w:pPr>
              <w:spacing w:after="0"/>
              <w:rPr>
                <w:sz w:val="1"/>
                <w:szCs w:val="1"/>
                <w:color w:val="auto"/>
              </w:rPr>
            </w:pPr>
          </w:p>
        </w:tc>
      </w:tr>
      <w:tr>
        <w:trPr>
          <w:trHeight w:val="324"/>
        </w:trPr>
        <w:tc>
          <w:tcPr>
            <w:tcW w:w="4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5.1</w:t>
            </w:r>
          </w:p>
        </w:tc>
        <w:tc>
          <w:tcPr>
            <w:tcW w:w="107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4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95"/>
              </w:rPr>
              <w:t>23.1</w:t>
            </w:r>
          </w:p>
        </w:tc>
        <w:tc>
          <w:tcPr>
            <w:tcW w:w="107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Consent of Vinson &amp; Elkins L.L.P. (included in Exhibit 5.1).</w:t>
            </w: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542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2" w:name="page3"/>
    <w:bookmarkEnd w:id="2"/>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ind w:left="686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PAA GP LLC, its general partner</w:t>
      </w:r>
    </w:p>
    <w:p>
      <w:pPr>
        <w:spacing w:after="0" w:line="225" w:lineRule="exact"/>
        <w:rPr>
          <w:sz w:val="20"/>
          <w:szCs w:val="20"/>
          <w:color w:val="auto"/>
        </w:rPr>
      </w:pPr>
    </w:p>
    <w:p>
      <w:pPr>
        <w:ind w:left="686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PLAINS AAP, L.P., its sole member</w:t>
      </w:r>
    </w:p>
    <w:p>
      <w:pPr>
        <w:spacing w:after="0" w:line="225" w:lineRule="exact"/>
        <w:rPr>
          <w:sz w:val="20"/>
          <w:szCs w:val="20"/>
          <w:color w:val="auto"/>
        </w:rPr>
      </w:pPr>
    </w:p>
    <w:p>
      <w:pPr>
        <w:ind w:left="686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PLAINS ALL AMERICAN GP LLC,</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86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17145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7" w:lineRule="exact"/>
        <w:rPr>
          <w:sz w:val="20"/>
          <w:szCs w:val="20"/>
          <w:color w:val="auto"/>
        </w:rPr>
      </w:pPr>
    </w:p>
    <w:p>
      <w:pPr>
        <w:ind w:left="6860"/>
        <w:spacing w:after="0"/>
        <w:tabs>
          <w:tab w:leader="none" w:pos="73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2014</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240" w:top="266"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0660" w:type="dxa"/>
            <w:vAlign w:val="bottom"/>
            <w:gridSpan w:val="3"/>
          </w:tcPr>
          <w:p>
            <w:pPr>
              <w:ind w:left="4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10660" w:type="dxa"/>
            <w:vAlign w:val="bottom"/>
            <w:gridSpan w:val="3"/>
            <w:vMerge w:val="restart"/>
          </w:tcPr>
          <w:p>
            <w:pPr>
              <w:ind w:left="54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Number</w:t>
            </w:r>
          </w:p>
        </w:tc>
        <w:tc>
          <w:tcPr>
            <w:tcW w:w="10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1.1</w:t>
            </w:r>
          </w:p>
        </w:tc>
        <w:tc>
          <w:tcPr>
            <w:tcW w:w="10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Underwriting Agreement, dated April 15, 2014 by and among Plains All American Pipeline, L.P., PAA Finance Corp., and Citigroup Global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Markets Inc., SunTrust Robinson Humphrey, Inc., UBS Securities LLC and Wells Fargo Securities, LLC, as representatives of the several</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underwriters named therein.</w:t>
            </w:r>
          </w:p>
        </w:tc>
        <w:tc>
          <w:tcPr>
            <w:tcW w:w="0" w:type="dxa"/>
            <w:vAlign w:val="bottom"/>
          </w:tcPr>
          <w:p>
            <w:pPr>
              <w:spacing w:after="0"/>
              <w:rPr>
                <w:sz w:val="1"/>
                <w:szCs w:val="1"/>
                <w:color w:val="auto"/>
              </w:rPr>
            </w:pPr>
          </w:p>
        </w:tc>
      </w:tr>
      <w:tr>
        <w:trPr>
          <w:trHeight w:val="324"/>
        </w:trPr>
        <w:tc>
          <w:tcPr>
            <w:tcW w:w="4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5.1</w:t>
            </w:r>
          </w:p>
        </w:tc>
        <w:tc>
          <w:tcPr>
            <w:tcW w:w="10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4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95"/>
              </w:rPr>
              <w:t>23.1</w:t>
            </w:r>
          </w:p>
        </w:tc>
        <w:tc>
          <w:tcPr>
            <w:tcW w:w="10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Consent of Vinson &amp; Elkins L.L.P. (included in Exhibit 5.1).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240" w:top="266" w:right="5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$700,000,000 4.70% Senior Notes due 2044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color w:val="auto"/>
        </w:rPr>
        <w:t>April 15,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color w:val="auto"/>
        </w:rPr>
        <w:t>PAA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Citigroup Global Markets Inc., SunTrust Robinson Humphrey, Inc., UBS Securities LLC and Wells Fargo Securities, LLC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the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$700,000,000 aggregate principal amount of 4.70% Senior Notes due 2044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issued under an indenture dated as of September 25, 2002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among the Issuers and U.S. Bank National Association,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Twenty-Fifth Supplemental Indenture, to be dated as of April 23, 2014, among the Issuers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40" w:firstLine="913"/>
        <w:spacing w:after="0" w:line="291" w:lineRule="auto"/>
        <w:rPr>
          <w:sz w:val="20"/>
          <w:szCs w:val="20"/>
          <w:color w:val="auto"/>
        </w:rPr>
      </w:pPr>
      <w:r>
        <w:rPr>
          <w:rFonts w:ascii="Times New Roman" w:cs="Times New Roman" w:eastAsia="Times New Roman" w:hAnsi="Times New Roman"/>
          <w:sz w:val="17"/>
          <w:szCs w:val="17"/>
          <w:color w:val="auto"/>
        </w:rPr>
        <w:t>PAA GP LLC, a Delaware limited liability company (the “</w:t>
      </w:r>
      <w:r>
        <w:rPr>
          <w:rFonts w:ascii="Times New Roman" w:cs="Times New Roman" w:eastAsia="Times New Roman" w:hAnsi="Times New Roman"/>
          <w:sz w:val="17"/>
          <w:szCs w:val="17"/>
          <w:b w:val="1"/>
          <w:bCs w:val="1"/>
          <w:color w:val="auto"/>
        </w:rPr>
        <w:t>General Partner</w:t>
      </w:r>
      <w:r>
        <w:rPr>
          <w:rFonts w:ascii="Times New Roman" w:cs="Times New Roman" w:eastAsia="Times New Roman" w:hAnsi="Times New Roman"/>
          <w:sz w:val="17"/>
          <w:szCs w:val="17"/>
          <w:color w:val="auto"/>
        </w:rPr>
        <w:t>”), is the general partner of the Partnership. Plains AAP, L.P., a Delaware limited partnership (“</w:t>
      </w:r>
      <w:r>
        <w:rPr>
          <w:rFonts w:ascii="Times New Roman" w:cs="Times New Roman" w:eastAsia="Times New Roman" w:hAnsi="Times New Roman"/>
          <w:sz w:val="17"/>
          <w:szCs w:val="17"/>
          <w:b w:val="1"/>
          <w:bCs w:val="1"/>
          <w:color w:val="auto"/>
        </w:rPr>
        <w:t>Plains AAP</w:t>
      </w:r>
      <w:r>
        <w:rPr>
          <w:rFonts w:ascii="Times New Roman" w:cs="Times New Roman" w:eastAsia="Times New Roman" w:hAnsi="Times New Roman"/>
          <w:sz w:val="17"/>
          <w:szCs w:val="17"/>
          <w:color w:val="auto"/>
        </w:rPr>
        <w:t>”), owns a 100% membership interest in the General Partner. Plains All American GP LLC, a Delaware limited liability company (“</w:t>
      </w:r>
      <w:r>
        <w:rPr>
          <w:rFonts w:ascii="Times New Roman" w:cs="Times New Roman" w:eastAsia="Times New Roman" w:hAnsi="Times New Roman"/>
          <w:sz w:val="17"/>
          <w:szCs w:val="17"/>
          <w:b w:val="1"/>
          <w:bCs w:val="1"/>
          <w:color w:val="auto"/>
        </w:rPr>
        <w:t>GP LLC</w:t>
      </w:r>
      <w:r>
        <w:rPr>
          <w:rFonts w:ascii="Times New Roman" w:cs="Times New Roman" w:eastAsia="Times New Roman" w:hAnsi="Times New Roman"/>
          <w:sz w:val="17"/>
          <w:szCs w:val="17"/>
          <w:color w:val="auto"/>
        </w:rPr>
        <w:t>” and, collectively with the General Partner and Plains AAP, the “</w:t>
      </w:r>
      <w:r>
        <w:rPr>
          <w:rFonts w:ascii="Times New Roman" w:cs="Times New Roman" w:eastAsia="Times New Roman" w:hAnsi="Times New Roman"/>
          <w:sz w:val="17"/>
          <w:szCs w:val="17"/>
          <w:b w:val="1"/>
          <w:bCs w:val="1"/>
          <w:color w:val="auto"/>
        </w:rPr>
        <w:t>GP Entities</w:t>
      </w:r>
      <w:r>
        <w:rPr>
          <w:rFonts w:ascii="Times New Roman" w:cs="Times New Roman" w:eastAsia="Times New Roman" w:hAnsi="Times New Roman"/>
          <w:sz w:val="17"/>
          <w:szCs w:val="17"/>
          <w:color w:val="auto"/>
        </w:rPr>
        <w:t>”), is the general partner of Plains AAP.</w:t>
      </w:r>
    </w:p>
    <w:p>
      <w:pPr>
        <w:spacing w:after="0" w:line="153" w:lineRule="exact"/>
        <w:rPr>
          <w:sz w:val="20"/>
          <w:szCs w:val="20"/>
          <w:color w:val="auto"/>
        </w:rPr>
      </w:pPr>
    </w:p>
    <w:p>
      <w:pPr>
        <w:ind w:right="180" w:firstLine="913"/>
        <w:spacing w:after="0" w:line="286"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“Material Subsidiaries,” and the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Subsidiaries </w:t>
      </w:r>
      <w:r>
        <w:rPr>
          <w:rFonts w:ascii="Times New Roman" w:cs="Times New Roman" w:eastAsia="Times New Roman" w:hAnsi="Times New Roman"/>
          <w:sz w:val="18"/>
          <w:szCs w:val="18"/>
          <w:color w:val="auto"/>
        </w:rPr>
        <w:t>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are referred to herein as the “</w:t>
      </w:r>
      <w:r>
        <w:rPr>
          <w:rFonts w:ascii="Times New Roman" w:cs="Times New Roman" w:eastAsia="Times New Roman" w:hAnsi="Times New Roman"/>
          <w:sz w:val="18"/>
          <w:szCs w:val="18"/>
          <w:b w:val="1"/>
          <w:bCs w:val="1"/>
          <w:color w:val="auto"/>
        </w:rPr>
        <w:t>Domestic 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ectPr>
          <w:pgSz w:w="11900" w:h="16838" w:orient="portrait"/>
          <w:cols w:equalWidth="0" w:num="1">
            <w:col w:w="11420"/>
          </w:cols>
          <w:pgMar w:left="240" w:top="117" w:right="239" w:bottom="1440" w:gutter="0" w:footer="0" w:header="0"/>
        </w:sectPr>
      </w:pPr>
    </w:p>
    <w:bookmarkStart w:id="5" w:name="page6"/>
    <w:bookmarkEnd w:id="5"/>
    <w:p>
      <w:pPr>
        <w:ind w:left="180" w:hanging="176"/>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115" w:lineRule="exact"/>
        <w:rPr>
          <w:rFonts w:ascii="Times New Roman" w:cs="Times New Roman" w:eastAsia="Times New Roman" w:hAnsi="Times New Roman"/>
          <w:sz w:val="18"/>
          <w:szCs w:val="18"/>
          <w:color w:val="auto"/>
        </w:rPr>
      </w:pPr>
    </w:p>
    <w:p>
      <w:pPr>
        <w:ind w:right="140" w:firstLine="443"/>
        <w:spacing w:after="0" w:line="259" w:lineRule="auto"/>
        <w:tabs>
          <w:tab w:leader="none" w:pos="6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w:t>
      </w:r>
      <w:r>
        <w:rPr>
          <w:rFonts w:ascii="Times New Roman" w:cs="Times New Roman" w:eastAsia="Times New Roman" w:hAnsi="Times New Roman"/>
          <w:sz w:val="18"/>
          <w:szCs w:val="18"/>
          <w:color w:val="auto"/>
        </w:rPr>
        <w:t>A registration statement on Form S-3 relating to the Notes (File No. 333-184137) (i) has been prepared by the Issuers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conformity with the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color w:val="auto"/>
        </w:rPr>
        <w:t>Rules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thereunder; (ii) has been filed with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(iii) is effective under the Securities Act. Copies of such registration statement and any amendment thereto have been delivered by the Issuers to the Representatives. As used in this Agreement:</w:t>
      </w:r>
    </w:p>
    <w:p>
      <w:pPr>
        <w:spacing w:after="0" w:line="69" w:lineRule="exact"/>
        <w:rPr>
          <w:rFonts w:ascii="Times New Roman" w:cs="Times New Roman" w:eastAsia="Times New Roman" w:hAnsi="Times New Roman"/>
          <w:sz w:val="18"/>
          <w:szCs w:val="18"/>
          <w:color w:val="auto"/>
        </w:rPr>
      </w:pPr>
    </w:p>
    <w:p>
      <w:pPr>
        <w:ind w:left="460" w:right="280" w:firstLine="421"/>
        <w:spacing w:after="0" w:line="286" w:lineRule="auto"/>
        <w:tabs>
          <w:tab w:leader="none" w:pos="109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2:30 p.m., New York City time, on April 15, 2014, which the Underwriters have informed the Issuers and their counsel is a time prior to the first sale of the Notes;</w:t>
      </w:r>
    </w:p>
    <w:p>
      <w:pPr>
        <w:spacing w:after="0" w:line="46"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117" w:lineRule="exact"/>
        <w:rPr>
          <w:rFonts w:ascii="Times New Roman" w:cs="Times New Roman" w:eastAsia="Times New Roman" w:hAnsi="Times New Roman"/>
          <w:sz w:val="18"/>
          <w:szCs w:val="18"/>
          <w:color w:val="auto"/>
        </w:rPr>
      </w:pPr>
    </w:p>
    <w:p>
      <w:pPr>
        <w:ind w:left="460" w:firstLine="421"/>
        <w:spacing w:after="0" w:line="286" w:lineRule="auto"/>
        <w:tabs>
          <w:tab w:leader="none" w:pos="119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any date as of which any part of such registration statement relating to the Notes became, or is deemed to have become, effective under the Securities Act in accordance with the Rules and Regulations;</w:t>
      </w:r>
    </w:p>
    <w:p>
      <w:pPr>
        <w:spacing w:after="0" w:line="46" w:lineRule="exact"/>
        <w:rPr>
          <w:rFonts w:ascii="Times New Roman" w:cs="Times New Roman" w:eastAsia="Times New Roman" w:hAnsi="Times New Roman"/>
          <w:sz w:val="18"/>
          <w:szCs w:val="18"/>
          <w:color w:val="auto"/>
        </w:rPr>
      </w:pPr>
    </w:p>
    <w:p>
      <w:pPr>
        <w:ind w:left="460" w:right="100" w:firstLine="421"/>
        <w:spacing w:after="0" w:line="268" w:lineRule="auto"/>
        <w:tabs>
          <w:tab w:leader="none" w:pos="118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62" w:lineRule="exact"/>
        <w:rPr>
          <w:rFonts w:ascii="Times New Roman" w:cs="Times New Roman" w:eastAsia="Times New Roman" w:hAnsi="Times New Roman"/>
          <w:sz w:val="18"/>
          <w:szCs w:val="18"/>
          <w:color w:val="auto"/>
        </w:rPr>
      </w:pPr>
    </w:p>
    <w:p>
      <w:pPr>
        <w:ind w:left="460" w:firstLine="421"/>
        <w:spacing w:after="0" w:line="268" w:lineRule="auto"/>
        <w:tabs>
          <w:tab w:leader="none" w:pos="113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prospectus relating to the Notes included in such registration statement or filed with the Commission pursuant to Rule 424(b) of the Rules and Regulations, including the Base Prospectus and any preliminary prospectus supplement thereto relating to the Notes;</w:t>
      </w:r>
    </w:p>
    <w:p>
      <w:pPr>
        <w:spacing w:after="0" w:line="62" w:lineRule="exact"/>
        <w:rPr>
          <w:rFonts w:ascii="Times New Roman" w:cs="Times New Roman" w:eastAsia="Times New Roman" w:hAnsi="Times New Roman"/>
          <w:sz w:val="18"/>
          <w:szCs w:val="18"/>
          <w:color w:val="auto"/>
        </w:rPr>
      </w:pPr>
    </w:p>
    <w:p>
      <w:pPr>
        <w:jc w:val="both"/>
        <w:ind w:left="460" w:right="160" w:firstLine="421"/>
        <w:spacing w:after="0" w:line="262" w:lineRule="auto"/>
        <w:tabs>
          <w:tab w:leader="none" w:pos="118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Prospectuses filed or used by the Partnership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68" w:lineRule="exact"/>
        <w:rPr>
          <w:rFonts w:ascii="Times New Roman" w:cs="Times New Roman" w:eastAsia="Times New Roman" w:hAnsi="Times New Roman"/>
          <w:sz w:val="18"/>
          <w:szCs w:val="18"/>
          <w:color w:val="auto"/>
        </w:rPr>
      </w:pPr>
    </w:p>
    <w:p>
      <w:pPr>
        <w:ind w:left="460" w:right="160" w:firstLine="421"/>
        <w:spacing w:after="0" w:line="286" w:lineRule="auto"/>
        <w:tabs>
          <w:tab w:leader="none" w:pos="123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9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700" w:top="270" w:right="239" w:bottom="1440" w:gutter="0" w:footer="0" w:header="0"/>
        </w:sectPr>
      </w:pPr>
    </w:p>
    <w:bookmarkStart w:id="6" w:name="page7"/>
    <w:bookmarkEnd w:id="6"/>
    <w:p>
      <w:pPr>
        <w:ind w:left="920" w:firstLine="421"/>
        <w:spacing w:after="0" w:line="286" w:lineRule="auto"/>
        <w:tabs>
          <w:tab w:leader="none" w:pos="17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registration statement on Form S-3 (File No. 333-184137), as amended as of the Effective Date, including any Preliminary Prospectus or the Prospectus and all exhibits to such registration statement.</w:t>
      </w:r>
    </w:p>
    <w:p>
      <w:pPr>
        <w:spacing w:after="0" w:line="159"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87" w:lineRule="exact"/>
        <w:rPr>
          <w:sz w:val="20"/>
          <w:szCs w:val="20"/>
          <w:color w:val="auto"/>
        </w:rPr>
      </w:pPr>
    </w:p>
    <w:p>
      <w:pPr>
        <w:ind w:right="80" w:firstLine="921"/>
        <w:spacing w:after="0" w:line="255" w:lineRule="auto"/>
        <w:tabs>
          <w:tab w:leader="none" w:pos="1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 of Documents. </w:t>
      </w:r>
      <w:r>
        <w:rPr>
          <w:rFonts w:ascii="Times New Roman" w:cs="Times New Roman" w:eastAsia="Times New Roman" w:hAnsi="Times New Roman"/>
          <w:sz w:val="18"/>
          <w:szCs w:val="18"/>
          <w:color w:val="auto"/>
        </w:rPr>
        <w:t>The Registration Statement conformed in all material respects on the Effective Date and on the Delivery Date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and the Prospectus conform in all material respects to the requirements applicable to them under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120" w:firstLine="921"/>
        <w:spacing w:after="0" w:line="284" w:lineRule="auto"/>
        <w:tabs>
          <w:tab w:leader="none" w:pos="11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 in Registration Statement</w:t>
      </w:r>
      <w:r>
        <w:rPr>
          <w:rFonts w:ascii="Times New Roman" w:cs="Times New Roman" w:eastAsia="Times New Roman" w:hAnsi="Times New Roman"/>
          <w:sz w:val="18"/>
          <w:szCs w:val="18"/>
          <w:color w:val="auto"/>
        </w:rPr>
        <w:t>. The Registration Statement did not, as of its most recent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an untrue statement of a material fact or omit to state a material fact required to be stated therein or necessary to</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6" w:right="25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Section 12.</w:t>
      </w:r>
    </w:p>
    <w:p>
      <w:pPr>
        <w:spacing w:after="0" w:line="66" w:lineRule="exact"/>
        <w:rPr>
          <w:sz w:val="20"/>
          <w:szCs w:val="20"/>
          <w:color w:val="auto"/>
        </w:rPr>
      </w:pPr>
    </w:p>
    <w:p>
      <w:pPr>
        <w:ind w:right="20" w:firstLine="921"/>
        <w:spacing w:after="0" w:line="259" w:lineRule="auto"/>
        <w:tabs>
          <w:tab w:leader="none" w:pos="11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 in Prospectus</w:t>
      </w:r>
      <w:r>
        <w:rPr>
          <w:rFonts w:ascii="Times New Roman" w:cs="Times New Roman" w:eastAsia="Times New Roman" w:hAnsi="Times New Roman"/>
          <w:sz w:val="18"/>
          <w:szCs w:val="18"/>
          <w:color w:val="auto"/>
        </w:rPr>
        <w:t>. The Prospectus will not, as of its date and on the Delivery Date, include an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Section 12.</w:t>
      </w:r>
    </w:p>
    <w:p>
      <w:pPr>
        <w:spacing w:after="0" w:line="71" w:lineRule="exact"/>
        <w:rPr>
          <w:rFonts w:ascii="Times New Roman" w:cs="Times New Roman" w:eastAsia="Times New Roman" w:hAnsi="Times New Roman"/>
          <w:sz w:val="18"/>
          <w:szCs w:val="18"/>
          <w:color w:val="auto"/>
        </w:rPr>
      </w:pPr>
    </w:p>
    <w:p>
      <w:pPr>
        <w:ind w:right="460" w:firstLine="921"/>
        <w:spacing w:after="0" w:line="267" w:lineRule="auto"/>
        <w:tabs>
          <w:tab w:leader="none" w:pos="11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did not and will not include an untrue statement of a material fact or omit to state a material fact necessary in order to make the statements therein, in the light of the circumstances under which they were made, not misleading.</w:t>
      </w:r>
    </w:p>
    <w:p>
      <w:pPr>
        <w:spacing w:after="0" w:line="65" w:lineRule="exact"/>
        <w:rPr>
          <w:rFonts w:ascii="Times New Roman" w:cs="Times New Roman" w:eastAsia="Times New Roman" w:hAnsi="Times New Roman"/>
          <w:sz w:val="18"/>
          <w:szCs w:val="18"/>
          <w:color w:val="auto"/>
        </w:rPr>
      </w:pPr>
    </w:p>
    <w:p>
      <w:pPr>
        <w:ind w:firstLine="921"/>
        <w:spacing w:after="0" w:line="259" w:lineRule="auto"/>
        <w:tabs>
          <w:tab w:leader="none" w:pos="11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 in Pricing Disclosure Package</w:t>
      </w:r>
      <w:r>
        <w:rPr>
          <w:rFonts w:ascii="Times New Roman" w:cs="Times New Roman" w:eastAsia="Times New Roman" w:hAnsi="Times New Roman"/>
          <w:sz w:val="18"/>
          <w:szCs w:val="18"/>
          <w:color w:val="auto"/>
        </w:rPr>
        <w:t>. The Pricing Disclosure Package did not, as of the Applicable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Section 12.</w:t>
      </w:r>
    </w:p>
    <w:p>
      <w:pPr>
        <w:spacing w:after="0" w:line="71" w:lineRule="exact"/>
        <w:rPr>
          <w:rFonts w:ascii="Times New Roman" w:cs="Times New Roman" w:eastAsia="Times New Roman" w:hAnsi="Times New Roman"/>
          <w:sz w:val="18"/>
          <w:szCs w:val="18"/>
          <w:color w:val="auto"/>
        </w:rPr>
      </w:pPr>
    </w:p>
    <w:p>
      <w:pPr>
        <w:ind w:right="160" w:firstLine="921"/>
        <w:spacing w:after="0" w:line="256" w:lineRule="auto"/>
        <w:tabs>
          <w:tab w:leader="none" w:pos="11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Section 12.</w:t>
      </w:r>
    </w:p>
    <w:p>
      <w:pPr>
        <w:spacing w:after="0" w:line="75" w:lineRule="exact"/>
        <w:rPr>
          <w:rFonts w:ascii="Times New Roman" w:cs="Times New Roman" w:eastAsia="Times New Roman" w:hAnsi="Times New Roman"/>
          <w:sz w:val="18"/>
          <w:szCs w:val="18"/>
          <w:color w:val="auto"/>
        </w:rPr>
      </w:pPr>
    </w:p>
    <w:p>
      <w:pPr>
        <w:ind w:right="40" w:firstLine="921"/>
        <w:spacing w:after="0" w:line="267" w:lineRule="auto"/>
        <w:tabs>
          <w:tab w:leader="none" w:pos="11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8" w:name="page9"/>
    <w:bookmarkEnd w:id="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70" w:lineRule="exact"/>
        <w:rPr>
          <w:sz w:val="20"/>
          <w:szCs w:val="20"/>
          <w:color w:val="auto"/>
        </w:rPr>
      </w:pPr>
    </w:p>
    <w:p>
      <w:pPr>
        <w:ind w:firstLine="921"/>
        <w:spacing w:after="0" w:line="261" w:lineRule="auto"/>
        <w:tabs>
          <w:tab w:leader="none" w:pos="11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Rules and Regulations). At the earliest time after the initial filing of the Registration Statement that the Issuers or another offering participant made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 (within the meaning of Rule 164(h)(2) of the Rules and Regulations) of the Notes, neither of the Issuers was an “ineligible issuer,”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405 of the Rules and Regulations.</w:t>
      </w:r>
    </w:p>
    <w:p>
      <w:pPr>
        <w:spacing w:after="0" w:line="71" w:lineRule="exact"/>
        <w:rPr>
          <w:rFonts w:ascii="Times New Roman" w:cs="Times New Roman" w:eastAsia="Times New Roman" w:hAnsi="Times New Roman"/>
          <w:sz w:val="18"/>
          <w:szCs w:val="18"/>
          <w:color w:val="auto"/>
        </w:rPr>
      </w:pPr>
    </w:p>
    <w:p>
      <w:pPr>
        <w:ind w:right="20" w:firstLine="921"/>
        <w:spacing w:after="0" w:line="253" w:lineRule="auto"/>
        <w:tabs>
          <w:tab w:leader="none" w:pos="11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Formation and Qualification of Certain Entities</w:t>
      </w:r>
      <w:r>
        <w:rPr>
          <w:rFonts w:ascii="Times New Roman" w:cs="Times New Roman" w:eastAsia="Times New Roman" w:hAnsi="Times New Roman"/>
          <w:sz w:val="18"/>
          <w:szCs w:val="18"/>
          <w:color w:val="auto"/>
        </w:rPr>
        <w:t>. Each of the Issuers, the GP Entities and the Material Subsidiaries has been duly formed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84" w:lineRule="exact"/>
        <w:rPr>
          <w:rFonts w:ascii="Times New Roman" w:cs="Times New Roman" w:eastAsia="Times New Roman" w:hAnsi="Times New Roman"/>
          <w:sz w:val="18"/>
          <w:szCs w:val="18"/>
          <w:color w:val="auto"/>
        </w:rPr>
      </w:pPr>
    </w:p>
    <w:p>
      <w:pPr>
        <w:ind w:right="140" w:firstLine="921"/>
        <w:spacing w:after="0" w:line="267" w:lineRule="auto"/>
        <w:tabs>
          <w:tab w:leader="none" w:pos="11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power and authority, as the case may be, to serve as general partner of such Plains Entity or GP Entity, in each case in all material respects, as disclosed in the Pricing Disclosure Package and the Prospectus.</w:t>
      </w:r>
    </w:p>
    <w:p>
      <w:pPr>
        <w:spacing w:after="0" w:line="65" w:lineRule="exact"/>
        <w:rPr>
          <w:rFonts w:ascii="Times New Roman" w:cs="Times New Roman" w:eastAsia="Times New Roman" w:hAnsi="Times New Roman"/>
          <w:sz w:val="18"/>
          <w:szCs w:val="18"/>
          <w:color w:val="auto"/>
        </w:rPr>
      </w:pPr>
    </w:p>
    <w:p>
      <w:pPr>
        <w:ind w:right="40" w:firstLine="921"/>
        <w:spacing w:after="0" w:line="259" w:lineRule="auto"/>
        <w:tabs>
          <w:tab w:leader="none" w:pos="11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of Interests in the Partnership, the General Partner and Plains AAP</w:t>
      </w:r>
      <w:r>
        <w:rPr>
          <w:rFonts w:ascii="Times New Roman" w:cs="Times New Roman" w:eastAsia="Times New Roman" w:hAnsi="Times New Roman"/>
          <w:sz w:val="18"/>
          <w:szCs w:val="18"/>
          <w:color w:val="auto"/>
        </w:rPr>
        <w:t>. The GP Entities hold the general partner and membership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Times New Roman" w:cs="Times New Roman" w:eastAsia="Times New Roman" w:hAnsi="Times New Roman"/>
          <w:sz w:val="18"/>
          <w:szCs w:val="18"/>
          <w:b w:val="1"/>
          <w:bCs w:val="1"/>
          <w:color w:val="auto"/>
        </w:rPr>
        <w:t>General Partner LLC Agreement</w:t>
      </w:r>
      <w:r>
        <w:rPr>
          <w:rFonts w:ascii="Times New Roman" w:cs="Times New Roman" w:eastAsia="Times New Roman" w:hAnsi="Times New Roman"/>
          <w:sz w:val="18"/>
          <w:szCs w:val="18"/>
          <w:color w:val="auto"/>
        </w:rPr>
        <w:t>”) and nonassessable (except as such nonassessability</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9" w:name="page10"/>
    <w:bookmarkEnd w:id="9"/>
    <w:p>
      <w:pPr>
        <w:ind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affected by Sections 18-607 and 18-804 of the Delaware Limited Liability Company Act (the “</w:t>
      </w:r>
      <w:r>
        <w:rPr>
          <w:rFonts w:ascii="Times New Roman" w:cs="Times New Roman" w:eastAsia="Times New Roman" w:hAnsi="Times New Roman"/>
          <w:sz w:val="18"/>
          <w:szCs w:val="18"/>
          <w:b w:val="1"/>
          <w:bCs w:val="1"/>
          <w:color w:val="auto"/>
        </w:rPr>
        <w:t>Delaware LLC Act</w:t>
      </w:r>
      <w:r>
        <w:rPr>
          <w:rFonts w:ascii="Times New Roman" w:cs="Times New Roman" w:eastAsia="Times New Roman" w:hAnsi="Times New Roman"/>
          <w:sz w:val="18"/>
          <w:szCs w:val="18"/>
          <w:color w:val="auto"/>
        </w:rPr>
        <w:t>”)); and such general partner and membership interests held by the GP Entities are owned free and clear of all liens, encumbrances, security interests, equities, charges or claims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spacing w:after="0" w:line="74" w:lineRule="exact"/>
        <w:rPr>
          <w:sz w:val="20"/>
          <w:szCs w:val="20"/>
          <w:color w:val="auto"/>
        </w:rPr>
      </w:pPr>
    </w:p>
    <w:p>
      <w:pPr>
        <w:ind w:left="1220" w:hanging="299"/>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w:t>
      </w:r>
    </w:p>
    <w:p>
      <w:pPr>
        <w:spacing w:after="0" w:line="29" w:lineRule="exact"/>
        <w:rPr>
          <w:rFonts w:ascii="Times New Roman" w:cs="Times New Roman" w:eastAsia="Times New Roman" w:hAnsi="Times New Roman"/>
          <w:sz w:val="18"/>
          <w:szCs w:val="18"/>
          <w:color w:val="auto"/>
        </w:rPr>
      </w:pPr>
    </w:p>
    <w:p>
      <w:pPr>
        <w:ind w:right="20" w:firstLine="8"/>
        <w:spacing w:after="0" w:line="251"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cs="Times New Roman" w:eastAsia="Times New Roman" w:hAnsi="Times New Roman"/>
          <w:sz w:val="18"/>
          <w:szCs w:val="18"/>
          <w:b w:val="1"/>
          <w:bCs w:val="1"/>
          <w:color w:val="auto"/>
        </w:rPr>
        <w:t>Delaware LP Act</w:t>
      </w:r>
      <w:r>
        <w:rPr>
          <w:rFonts w:ascii="Times New Roman" w:cs="Times New Roman" w:eastAsia="Times New Roman" w:hAnsi="Times New Roman"/>
          <w:sz w:val="18"/>
          <w:szCs w:val="18"/>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The Subsidiaries other than the Material Subsidiaries would not have, individually or in the aggregate, accounted for (i) more than 10% of the total assets of the Plains Entities, taken as a whole, as of the most recent fiscal year end or (ii) more than 10% of the net income of the Plains Entities, taken as a whole, for the most recent fiscal year.</w:t>
      </w:r>
    </w:p>
    <w:p>
      <w:pPr>
        <w:spacing w:after="0" w:line="82" w:lineRule="exact"/>
        <w:rPr>
          <w:rFonts w:ascii="Times New Roman" w:cs="Times New Roman" w:eastAsia="Times New Roman" w:hAnsi="Times New Roman"/>
          <w:sz w:val="18"/>
          <w:szCs w:val="18"/>
          <w:color w:val="auto"/>
        </w:rPr>
      </w:pPr>
    </w:p>
    <w:p>
      <w:pPr>
        <w:ind w:right="100" w:firstLine="921"/>
        <w:spacing w:after="0" w:line="284" w:lineRule="auto"/>
        <w:tabs>
          <w:tab w:leader="none" w:pos="11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of any other securities of the Issuers, except such rights as have been waived or satisfied.</w:t>
      </w:r>
    </w:p>
    <w:p>
      <w:pPr>
        <w:spacing w:after="0" w:line="50" w:lineRule="exact"/>
        <w:rPr>
          <w:rFonts w:ascii="Times New Roman" w:cs="Times New Roman" w:eastAsia="Times New Roman" w:hAnsi="Times New Roman"/>
          <w:sz w:val="18"/>
          <w:szCs w:val="18"/>
          <w:color w:val="auto"/>
        </w:rPr>
      </w:pPr>
    </w:p>
    <w:p>
      <w:pPr>
        <w:ind w:right="120" w:firstLine="921"/>
        <w:spacing w:after="0" w:line="267" w:lineRule="auto"/>
        <w:tabs>
          <w:tab w:leader="none" w:pos="11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Indenture will conform in all material respects to the descriptions thereof contained in the Pricing Disclosure Package and the Prospectus (and any amendment or supplement thereto).</w:t>
      </w:r>
    </w:p>
    <w:p>
      <w:pPr>
        <w:spacing w:after="0" w:line="65" w:lineRule="exact"/>
        <w:rPr>
          <w:rFonts w:ascii="Times New Roman" w:cs="Times New Roman" w:eastAsia="Times New Roman" w:hAnsi="Times New Roman"/>
          <w:sz w:val="18"/>
          <w:szCs w:val="18"/>
          <w:color w:val="auto"/>
        </w:rPr>
      </w:pPr>
    </w:p>
    <w:p>
      <w:pPr>
        <w:ind w:firstLine="921"/>
        <w:spacing w:after="0" w:line="267" w:lineRule="auto"/>
        <w:tabs>
          <w:tab w:leader="none" w:pos="11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and upon the terms and conditions set forth in this Agreement, its respective Organizational Documents, the Indenture, the Registration Statement, the Pricing Disclosure Package and the Prospectus. All action required to be taken by the Issuers or its respective partners or stockholder for (i)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6"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and proper authorization, execution and delivery of this Agreement and the Indenture, (ii) the authorization, issuance, sale and delivery of the Notes and</w:t>
      </w:r>
    </w:p>
    <w:p>
      <w:pPr>
        <w:spacing w:after="0" w:line="2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other transactions contemplated hereby and thereby shall have been duly and validly taken.</w:t>
      </w:r>
    </w:p>
    <w:p>
      <w:pPr>
        <w:spacing w:after="0" w:line="96" w:lineRule="exact"/>
        <w:rPr>
          <w:rFonts w:ascii="Times New Roman" w:cs="Times New Roman" w:eastAsia="Times New Roman" w:hAnsi="Times New Roman"/>
          <w:sz w:val="18"/>
          <w:szCs w:val="18"/>
          <w:color w:val="auto"/>
        </w:rPr>
      </w:pPr>
    </w:p>
    <w:p>
      <w:pPr>
        <w:ind w:firstLine="921"/>
        <w:spacing w:after="0" w:line="284" w:lineRule="auto"/>
        <w:tabs>
          <w:tab w:leader="none" w:pos="11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behalf of the Issuers.</w:t>
      </w:r>
    </w:p>
    <w:p>
      <w:pPr>
        <w:spacing w:after="0" w:line="50" w:lineRule="exact"/>
        <w:rPr>
          <w:rFonts w:ascii="Times New Roman" w:cs="Times New Roman" w:eastAsia="Times New Roman" w:hAnsi="Times New Roman"/>
          <w:sz w:val="18"/>
          <w:szCs w:val="18"/>
          <w:color w:val="auto"/>
        </w:rPr>
      </w:pPr>
    </w:p>
    <w:p>
      <w:pPr>
        <w:ind w:right="40" w:firstLine="921"/>
        <w:spacing w:after="0" w:line="255" w:lineRule="auto"/>
        <w:tabs>
          <w:tab w:leader="none" w:pos="11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Enforceability of the Indenture</w:t>
      </w:r>
      <w:r>
        <w:rPr>
          <w:rFonts w:ascii="Times New Roman" w:cs="Times New Roman" w:eastAsia="Times New Roman" w:hAnsi="Times New Roman"/>
          <w:sz w:val="18"/>
          <w:szCs w:val="18"/>
          <w:color w:val="auto"/>
        </w:rPr>
        <w:t>. The execution and delivery of, and the performance by each of the Issuers of their respective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Indenture have been duly and validly authorized by each of the Issuers; the Indenture has been duly qualified under the Trust Indenture Act and, assuming due authorization, execution and delivery of the Base Indenture and the Supplemental Indenture thereto by the Trustee, when the Supplemental Indenture is executed and delivered by each of the Issuers, will constitute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77" w:lineRule="exact"/>
        <w:rPr>
          <w:rFonts w:ascii="Times New Roman" w:cs="Times New Roman" w:eastAsia="Times New Roman" w:hAnsi="Times New Roman"/>
          <w:sz w:val="18"/>
          <w:szCs w:val="18"/>
          <w:color w:val="auto"/>
        </w:rPr>
      </w:pPr>
    </w:p>
    <w:p>
      <w:pPr>
        <w:ind w:firstLine="921"/>
        <w:spacing w:after="0" w:line="257" w:lineRule="auto"/>
        <w:tabs>
          <w:tab w:leader="none" w:pos="11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Issuance of the Notes</w:t>
      </w:r>
      <w:r>
        <w:rPr>
          <w:rFonts w:ascii="Times New Roman" w:cs="Times New Roman" w:eastAsia="Times New Roman" w:hAnsi="Times New Roman"/>
          <w:sz w:val="18"/>
          <w:szCs w:val="18"/>
          <w:color w:val="auto"/>
        </w:rPr>
        <w:t>. The Notes have been duly authorized, and, when executed and authenticated in accordance with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74" w:lineRule="exact"/>
        <w:rPr>
          <w:rFonts w:ascii="Times New Roman" w:cs="Times New Roman" w:eastAsia="Times New Roman" w:hAnsi="Times New Roman"/>
          <w:sz w:val="18"/>
          <w:szCs w:val="18"/>
          <w:color w:val="auto"/>
        </w:rPr>
      </w:pPr>
    </w:p>
    <w:p>
      <w:pPr>
        <w:ind w:right="20" w:firstLine="921"/>
        <w:spacing w:after="0" w:line="257" w:lineRule="auto"/>
        <w:tabs>
          <w:tab w:leader="none" w:pos="11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Execution and Enforceability of the Operating Agreements</w:t>
      </w:r>
      <w:r>
        <w:rPr>
          <w:rFonts w:ascii="Times New Roman" w:cs="Times New Roman" w:eastAsia="Times New Roman" w:hAnsi="Times New Roman"/>
          <w:sz w:val="18"/>
          <w:szCs w:val="18"/>
          <w:color w:val="auto"/>
        </w:rPr>
        <w:t>. The partnership agreement or limited liability company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of each of the Issuers,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74" w:lineRule="exact"/>
        <w:rPr>
          <w:rFonts w:ascii="Times New Roman" w:cs="Times New Roman" w:eastAsia="Times New Roman" w:hAnsi="Times New Roman"/>
          <w:sz w:val="18"/>
          <w:szCs w:val="18"/>
          <w:color w:val="auto"/>
        </w:rPr>
      </w:pPr>
    </w:p>
    <w:p>
      <w:pPr>
        <w:ind w:firstLine="921"/>
        <w:spacing w:after="0" w:line="290" w:lineRule="auto"/>
        <w:tabs>
          <w:tab w:leader="none" w:pos="116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Conflicts or Violations</w:t>
      </w:r>
      <w:r>
        <w:rPr>
          <w:rFonts w:ascii="Times New Roman" w:cs="Times New Roman" w:eastAsia="Times New Roman" w:hAnsi="Times New Roman"/>
          <w:sz w:val="17"/>
          <w:szCs w:val="17"/>
          <w:color w:val="auto"/>
        </w:rPr>
        <w:t>. None of (i) the offering, issuance and sale by the Issuers of the Notes, (ii) the execution, delivery and performance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constitutes or will constitute a violation of the Organizational Documents of either of the Issuers, any of the GP Entities or any of the Material Subsidiaries,</w:t>
      </w:r>
    </w:p>
    <w:p>
      <w:pPr>
        <w:spacing w:after="0" w:line="27" w:lineRule="exact"/>
        <w:rPr>
          <w:sz w:val="20"/>
          <w:szCs w:val="20"/>
          <w:color w:val="auto"/>
        </w:rPr>
      </w:pPr>
    </w:p>
    <w:p>
      <w:pPr>
        <w:ind w:firstLine="8"/>
        <w:spacing w:after="0" w:line="251" w:lineRule="auto"/>
        <w:tabs>
          <w:tab w:leader="none" w:pos="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clauses (B), (C) or (D), would reasonably be expected to have a Material Adverse Effect or materially impair the ability of the Issuers to consummate the transactions contemplated by this Agreement.</w:t>
      </w:r>
    </w:p>
    <w:p>
      <w:pPr>
        <w:spacing w:after="0" w:line="84" w:lineRule="exact"/>
        <w:rPr>
          <w:rFonts w:ascii="Times New Roman" w:cs="Times New Roman" w:eastAsia="Times New Roman" w:hAnsi="Times New Roman"/>
          <w:sz w:val="18"/>
          <w:szCs w:val="18"/>
          <w:color w:val="auto"/>
        </w:rPr>
      </w:pPr>
    </w:p>
    <w:p>
      <w:pPr>
        <w:ind w:right="60" w:firstLine="921"/>
        <w:spacing w:after="0" w:line="254" w:lineRule="auto"/>
        <w:tabs>
          <w:tab w:leader="none" w:pos="11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81" w:lineRule="exact"/>
        <w:rPr>
          <w:rFonts w:ascii="Times New Roman" w:cs="Times New Roman" w:eastAsia="Times New Roman" w:hAnsi="Times New Roman"/>
          <w:sz w:val="18"/>
          <w:szCs w:val="18"/>
          <w:color w:val="auto"/>
        </w:rPr>
      </w:pPr>
    </w:p>
    <w:p>
      <w:pPr>
        <w:ind w:right="20" w:firstLine="921"/>
        <w:spacing w:after="0" w:line="255" w:lineRule="auto"/>
        <w:tabs>
          <w:tab w:leader="none" w:pos="12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(i) None of the Issuers or the GP Entities or the Material Subsidiaries is in violation of its Organizational Documents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either of the Issuers to perform its obligations under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2" w:name="page13"/>
    <w:bookmarkEnd w:id="12"/>
    <w:p>
      <w:pPr>
        <w:jc w:val="both"/>
        <w:ind w:firstLine="921"/>
        <w:spacing w:after="0" w:line="261" w:lineRule="auto"/>
        <w:tabs>
          <w:tab w:leader="none" w:pos="11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w:t>
      </w:r>
      <w:r>
        <w:rPr>
          <w:rFonts w:ascii="Times New Roman" w:cs="Times New Roman" w:eastAsia="Times New Roman" w:hAnsi="Times New Roman"/>
          <w:sz w:val="18"/>
          <w:szCs w:val="18"/>
          <w:color w:val="auto"/>
        </w:rPr>
        <w:t>. PricewaterhouseCoopers LLP, which has certified certain audited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71" w:lineRule="exact"/>
        <w:rPr>
          <w:rFonts w:ascii="Times New Roman" w:cs="Times New Roman" w:eastAsia="Times New Roman" w:hAnsi="Times New Roman"/>
          <w:sz w:val="18"/>
          <w:szCs w:val="18"/>
          <w:color w:val="auto"/>
        </w:rPr>
      </w:pPr>
    </w:p>
    <w:p>
      <w:pPr>
        <w:ind w:right="40" w:firstLine="921"/>
        <w:spacing w:after="0" w:line="252" w:lineRule="auto"/>
        <w:tabs>
          <w:tab w:leader="none" w:pos="11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At December 31, 2013, the Partnership had, on an as adjusted basis as indicated in the Prospectus (and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Issuers are required by the Securities Act or the Exchange Act to be included in the Registration Statement, the most recent Preliminary Prospectus or the Prospectus.</w:t>
      </w:r>
    </w:p>
    <w:p>
      <w:pPr>
        <w:spacing w:after="0" w:line="86" w:lineRule="exact"/>
        <w:rPr>
          <w:rFonts w:ascii="Times New Roman" w:cs="Times New Roman" w:eastAsia="Times New Roman" w:hAnsi="Times New Roman"/>
          <w:sz w:val="18"/>
          <w:szCs w:val="18"/>
          <w:color w:val="auto"/>
        </w:rPr>
      </w:pPr>
    </w:p>
    <w:p>
      <w:pPr>
        <w:ind w:firstLine="921"/>
        <w:spacing w:after="0" w:line="255" w:lineRule="auto"/>
        <w:tabs>
          <w:tab w:leader="none" w:pos="11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8" w:right="239" w:bottom="1440" w:gutter="0" w:footer="0" w:header="0"/>
        </w:sectPr>
      </w:pPr>
    </w:p>
    <w:bookmarkStart w:id="13" w:name="page14"/>
    <w:bookmarkEnd w:id="1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w:t>
      </w:r>
    </w:p>
    <w:p>
      <w:pPr>
        <w:spacing w:after="0" w:line="78" w:lineRule="exact"/>
        <w:rPr>
          <w:sz w:val="20"/>
          <w:szCs w:val="20"/>
          <w:color w:val="auto"/>
        </w:rPr>
      </w:pPr>
    </w:p>
    <w:p>
      <w:pPr>
        <w:ind w:firstLine="921"/>
        <w:spacing w:after="0" w:line="257" w:lineRule="auto"/>
        <w:tabs>
          <w:tab w:leader="none" w:pos="12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Disclosures and Descriptions</w:t>
      </w:r>
      <w:r>
        <w:rPr>
          <w:rFonts w:ascii="Times New Roman" w:cs="Times New Roman" w:eastAsia="Times New Roman" w:hAnsi="Times New Roman"/>
          <w:sz w:val="18"/>
          <w:szCs w:val="18"/>
          <w:color w:val="auto"/>
        </w:rPr>
        <w:t>. There are no legal or governmental proceedings pending or, to the knowledge of the 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74" w:lineRule="exact"/>
        <w:rPr>
          <w:rFonts w:ascii="Times New Roman" w:cs="Times New Roman" w:eastAsia="Times New Roman" w:hAnsi="Times New Roman"/>
          <w:sz w:val="18"/>
          <w:szCs w:val="18"/>
          <w:color w:val="auto"/>
        </w:rPr>
      </w:pPr>
    </w:p>
    <w:p>
      <w:pPr>
        <w:ind w:firstLine="921"/>
        <w:spacing w:after="0" w:line="255" w:lineRule="auto"/>
        <w:tabs>
          <w:tab w:leader="none" w:pos="1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property described in the Pricing Disclosure Package and the Prospectus as being owned by them, free and clear of all Liens except (i) as provided in the Third Amended and Restated Credit Agreement dated August 19, 2011, as amended (the “</w:t>
      </w:r>
      <w:r>
        <w:rPr>
          <w:rFonts w:ascii="Times New Roman" w:cs="Times New Roman" w:eastAsia="Times New Roman" w:hAnsi="Times New Roman"/>
          <w:sz w:val="18"/>
          <w:szCs w:val="18"/>
          <w:b w:val="1"/>
          <w:bCs w:val="1"/>
          <w:color w:val="auto"/>
        </w:rPr>
        <w:t>Hedged Inventory Facility</w:t>
      </w:r>
      <w:r>
        <w:rPr>
          <w:rFonts w:ascii="Times New Roman" w:cs="Times New Roman" w:eastAsia="Times New Roman" w:hAnsi="Times New Roman"/>
          <w:sz w:val="18"/>
          <w:szCs w:val="18"/>
          <w:color w:val="auto"/>
        </w:rPr>
        <w:t>”), among Plains Marketing, L.P. (“</w:t>
      </w:r>
      <w:r>
        <w:rPr>
          <w:rFonts w:ascii="Times New Roman" w:cs="Times New Roman" w:eastAsia="Times New Roman" w:hAnsi="Times New Roman"/>
          <w:sz w:val="18"/>
          <w:szCs w:val="18"/>
          <w:b w:val="1"/>
          <w:bCs w:val="1"/>
          <w:color w:val="auto"/>
        </w:rPr>
        <w:t>Plains Marketing</w:t>
      </w:r>
      <w:r>
        <w:rPr>
          <w:rFonts w:ascii="Times New Roman" w:cs="Times New Roman" w:eastAsia="Times New Roman" w:hAnsi="Times New Roman"/>
          <w:sz w:val="18"/>
          <w:szCs w:val="18"/>
          <w:color w:val="auto"/>
        </w:rPr>
        <w:t>”),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77" w:lineRule="exact"/>
        <w:rPr>
          <w:rFonts w:ascii="Times New Roman" w:cs="Times New Roman" w:eastAsia="Times New Roman" w:hAnsi="Times New Roman"/>
          <w:sz w:val="18"/>
          <w:szCs w:val="18"/>
          <w:color w:val="auto"/>
        </w:rPr>
      </w:pPr>
    </w:p>
    <w:p>
      <w:pPr>
        <w:ind w:right="40" w:firstLine="921"/>
        <w:spacing w:after="0" w:line="256" w:lineRule="auto"/>
        <w:tabs>
          <w:tab w:leader="none" w:pos="12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authorities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14" w:name="page15"/>
    <w:bookmarkEnd w:id="14"/>
    <w:p>
      <w:pPr>
        <w:ind w:left="-20" w:right="200" w:firstLine="921"/>
        <w:spacing w:after="0" w:line="255" w:lineRule="auto"/>
        <w:tabs>
          <w:tab w:leader="none" w:pos="12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rights-of-way</w:t>
      </w:r>
      <w:r>
        <w:rPr>
          <w:rFonts w:ascii="Times New Roman" w:cs="Times New Roman" w:eastAsia="Times New Roman" w:hAnsi="Times New Roman"/>
          <w:sz w:val="18"/>
          <w:szCs w:val="18"/>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77" w:lineRule="exact"/>
        <w:rPr>
          <w:rFonts w:ascii="Times New Roman" w:cs="Times New Roman" w:eastAsia="Times New Roman" w:hAnsi="Times New Roman"/>
          <w:sz w:val="18"/>
          <w:szCs w:val="18"/>
          <w:color w:val="auto"/>
        </w:rPr>
      </w:pPr>
    </w:p>
    <w:p>
      <w:pPr>
        <w:ind w:left="-20" w:firstLine="921"/>
        <w:spacing w:after="0" w:line="257" w:lineRule="auto"/>
        <w:tabs>
          <w:tab w:leader="none" w:pos="12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74" w:lineRule="exact"/>
        <w:rPr>
          <w:rFonts w:ascii="Times New Roman" w:cs="Times New Roman" w:eastAsia="Times New Roman" w:hAnsi="Times New Roman"/>
          <w:sz w:val="18"/>
          <w:szCs w:val="18"/>
          <w:color w:val="auto"/>
        </w:rPr>
      </w:pPr>
    </w:p>
    <w:p>
      <w:pPr>
        <w:ind w:left="-20" w:right="40" w:firstLine="921"/>
        <w:spacing w:after="0" w:line="257" w:lineRule="auto"/>
        <w:tabs>
          <w:tab w:leader="none" w:pos="11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Compliance</w:t>
      </w:r>
      <w:r>
        <w:rPr>
          <w:rFonts w:ascii="Times New Roman" w:cs="Times New Roman" w:eastAsia="Times New Roman" w:hAnsi="Times New Roman"/>
          <w:sz w:val="18"/>
          <w:szCs w:val="18"/>
          <w:color w:val="auto"/>
        </w:rPr>
        <w:t>. Except as described in the Pricing Disclosure Package and the Prospectus, none of the Plains Entities,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74" w:lineRule="exact"/>
        <w:rPr>
          <w:rFonts w:ascii="Times New Roman" w:cs="Times New Roman" w:eastAsia="Times New Roman" w:hAnsi="Times New Roman"/>
          <w:sz w:val="18"/>
          <w:szCs w:val="18"/>
          <w:color w:val="auto"/>
        </w:rPr>
      </w:pPr>
    </w:p>
    <w:p>
      <w:pPr>
        <w:ind w:left="-20" w:right="240" w:firstLine="921"/>
        <w:spacing w:after="0" w:line="284" w:lineRule="auto"/>
        <w:tabs>
          <w:tab w:leader="none" w:pos="12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is imminent, that would reasonably be expected to have a Material Adverse Effect.</w:t>
      </w:r>
    </w:p>
    <w:p>
      <w:pPr>
        <w:spacing w:after="0" w:line="50" w:lineRule="exact"/>
        <w:rPr>
          <w:rFonts w:ascii="Times New Roman" w:cs="Times New Roman" w:eastAsia="Times New Roman" w:hAnsi="Times New Roman"/>
          <w:sz w:val="18"/>
          <w:szCs w:val="18"/>
          <w:color w:val="auto"/>
        </w:rPr>
      </w:pPr>
    </w:p>
    <w:p>
      <w:pPr>
        <w:ind w:left="-20" w:right="120" w:firstLine="921"/>
        <w:spacing w:after="0" w:line="261" w:lineRule="auto"/>
        <w:tabs>
          <w:tab w:leader="none" w:pos="12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60" w:top="268" w:right="239" w:bottom="1440" w:gutter="0" w:footer="0" w:header="0"/>
        </w:sectPr>
      </w:pPr>
    </w:p>
    <w:bookmarkStart w:id="15" w:name="page16"/>
    <w:bookmarkEnd w:id="15"/>
    <w:p>
      <w:pPr>
        <w:ind w:left="-8" w:right="20" w:firstLine="921"/>
        <w:spacing w:after="0" w:line="257" w:lineRule="auto"/>
        <w:tabs>
          <w:tab w:leader="none" w:pos="11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Legal Actions</w:t>
      </w:r>
      <w:r>
        <w:rPr>
          <w:rFonts w:ascii="Times New Roman" w:cs="Times New Roman" w:eastAsia="Times New Roman" w:hAnsi="Times New Roman"/>
          <w:sz w:val="18"/>
          <w:szCs w:val="18"/>
          <w:color w:val="auto"/>
        </w:rPr>
        <w:t>. Except as described in the Pricing Disclosure Package and the Prospectus, there is (i) no action, suit or proceeding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Notes.</w:t>
      </w:r>
    </w:p>
    <w:p>
      <w:pPr>
        <w:spacing w:after="0" w:line="74" w:lineRule="exact"/>
        <w:rPr>
          <w:rFonts w:ascii="Times New Roman" w:cs="Times New Roman" w:eastAsia="Times New Roman" w:hAnsi="Times New Roman"/>
          <w:sz w:val="18"/>
          <w:szCs w:val="18"/>
          <w:color w:val="auto"/>
        </w:rPr>
      </w:pPr>
    </w:p>
    <w:p>
      <w:pPr>
        <w:ind w:left="-8" w:right="320" w:firstLine="921"/>
        <w:spacing w:after="0" w:line="257" w:lineRule="auto"/>
        <w:tabs>
          <w:tab w:leader="none" w:pos="11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reasonably be expected to have a Material Adverse Effect.</w:t>
      </w:r>
    </w:p>
    <w:p>
      <w:pPr>
        <w:spacing w:after="0" w:line="74" w:lineRule="exact"/>
        <w:rPr>
          <w:rFonts w:ascii="Times New Roman" w:cs="Times New Roman" w:eastAsia="Times New Roman" w:hAnsi="Times New Roman"/>
          <w:sz w:val="18"/>
          <w:szCs w:val="18"/>
          <w:color w:val="auto"/>
        </w:rPr>
      </w:pPr>
    </w:p>
    <w:p>
      <w:pPr>
        <w:ind w:left="1252" w:hanging="339"/>
        <w:spacing w:after="0"/>
        <w:tabs>
          <w:tab w:leader="none" w:pos="12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Distribution of Other Offering Materials</w:t>
      </w:r>
      <w:r>
        <w:rPr>
          <w:rFonts w:ascii="Times New Roman" w:cs="Times New Roman" w:eastAsia="Times New Roman" w:hAnsi="Times New Roman"/>
          <w:sz w:val="18"/>
          <w:szCs w:val="18"/>
          <w:color w:val="auto"/>
        </w:rPr>
        <w:t>. None of the Plains Entities or the GP Entities has distributed and, prior to the later to occur of</w:t>
      </w:r>
    </w:p>
    <w:p>
      <w:pPr>
        <w:spacing w:after="0" w:line="29" w:lineRule="exact"/>
        <w:rPr>
          <w:rFonts w:ascii="Times New Roman" w:cs="Times New Roman" w:eastAsia="Times New Roman" w:hAnsi="Times New Roman"/>
          <w:sz w:val="18"/>
          <w:szCs w:val="18"/>
          <w:color w:val="auto"/>
        </w:rPr>
      </w:pPr>
    </w:p>
    <w:p>
      <w:pPr>
        <w:ind w:left="-8" w:right="200" w:firstLine="8"/>
        <w:spacing w:after="0" w:line="254" w:lineRule="auto"/>
        <w:tabs>
          <w:tab w:leader="none" w:pos="2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Section 1(h) of this Agreement, or other materials, if any, permitted by the Securities Act, including Rule 134 of the Rules and Regulations.</w:t>
      </w:r>
    </w:p>
    <w:p>
      <w:pPr>
        <w:spacing w:after="0" w:line="75" w:lineRule="exact"/>
        <w:rPr>
          <w:rFonts w:ascii="Times New Roman" w:cs="Times New Roman" w:eastAsia="Times New Roman" w:hAnsi="Times New Roman"/>
          <w:sz w:val="18"/>
          <w:szCs w:val="18"/>
          <w:color w:val="auto"/>
        </w:rPr>
      </w:pPr>
    </w:p>
    <w:p>
      <w:pPr>
        <w:ind w:left="-8" w:firstLine="921"/>
        <w:spacing w:after="0" w:line="259" w:lineRule="auto"/>
        <w:tabs>
          <w:tab w:leader="none" w:pos="11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Books and Records; Accounting Controls</w:t>
      </w:r>
      <w:r>
        <w:rPr>
          <w:rFonts w:ascii="Times New Roman" w:cs="Times New Roman" w:eastAsia="Times New Roman" w:hAnsi="Times New Roman"/>
          <w:sz w:val="18"/>
          <w:szCs w:val="18"/>
          <w:color w:val="auto"/>
        </w:rPr>
        <w:t>. The Partnership maintains a system of internal accounting controls sufficient to provide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71" w:lineRule="exact"/>
        <w:rPr>
          <w:rFonts w:ascii="Times New Roman" w:cs="Times New Roman" w:eastAsia="Times New Roman" w:hAnsi="Times New Roman"/>
          <w:sz w:val="18"/>
          <w:szCs w:val="18"/>
          <w:color w:val="auto"/>
        </w:rPr>
      </w:pPr>
    </w:p>
    <w:p>
      <w:pPr>
        <w:ind w:left="-8" w:right="60" w:firstLine="921"/>
        <w:spacing w:after="0" w:line="267" w:lineRule="auto"/>
        <w:tabs>
          <w:tab w:leader="none" w:pos="13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Partnership and, to the knowledge of the Issuers, the directors and officers of GP LLC in their capacities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 compliance in all material respects with all applicable and effective provisions of the Sarbanes-Oxley Act of 2002 and the rules and regulations promulgated thereunder.</w:t>
      </w:r>
    </w:p>
    <w:p>
      <w:pPr>
        <w:spacing w:after="0" w:line="65" w:lineRule="exact"/>
        <w:rPr>
          <w:rFonts w:ascii="Times New Roman" w:cs="Times New Roman" w:eastAsia="Times New Roman" w:hAnsi="Times New Roman"/>
          <w:sz w:val="18"/>
          <w:szCs w:val="18"/>
          <w:color w:val="auto"/>
        </w:rPr>
      </w:pPr>
    </w:p>
    <w:p>
      <w:pPr>
        <w:ind w:left="-8" w:right="120" w:firstLine="921"/>
        <w:spacing w:after="0" w:line="284"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13a-15 and 15d-15 of the Rules and Regulations), that (i) are designed to provide reasonable assurance that material</w:t>
      </w:r>
    </w:p>
    <w:p>
      <w:pPr>
        <w:spacing w:after="0" w:line="9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92"/>
          </w:cols>
          <w:pgMar w:left="248" w:top="268" w:right="259" w:bottom="1440" w:gutter="0" w:footer="0" w:header="0"/>
        </w:sectPr>
      </w:pPr>
    </w:p>
    <w:bookmarkStart w:id="16" w:name="page17"/>
    <w:bookmarkEnd w:id="16"/>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55" w:lineRule="exact"/>
        <w:rPr>
          <w:sz w:val="20"/>
          <w:szCs w:val="20"/>
          <w:color w:val="auto"/>
        </w:rPr>
      </w:pPr>
    </w:p>
    <w:p>
      <w:pPr>
        <w:ind w:right="100" w:firstLine="921"/>
        <w:spacing w:after="0" w:line="259" w:lineRule="auto"/>
        <w:tabs>
          <w:tab w:leader="none" w:pos="1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71" w:lineRule="exact"/>
        <w:rPr>
          <w:rFonts w:ascii="Times New Roman" w:cs="Times New Roman" w:eastAsia="Times New Roman" w:hAnsi="Times New Roman"/>
          <w:sz w:val="18"/>
          <w:szCs w:val="18"/>
          <w:color w:val="auto"/>
        </w:rPr>
      </w:pPr>
    </w:p>
    <w:p>
      <w:pPr>
        <w:ind w:firstLine="921"/>
        <w:spacing w:after="0" w:line="267" w:lineRule="auto"/>
        <w:tabs>
          <w:tab w:leader="none" w:pos="1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None of the Plains Entities or the GP Entities nor, to the knowledge of the Issuers, any director, officer, agent or employee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65" w:lineRule="exact"/>
        <w:rPr>
          <w:rFonts w:ascii="Times New Roman" w:cs="Times New Roman" w:eastAsia="Times New Roman" w:hAnsi="Times New Roman"/>
          <w:sz w:val="18"/>
          <w:szCs w:val="18"/>
          <w:color w:val="auto"/>
        </w:rPr>
      </w:pPr>
    </w:p>
    <w:p>
      <w:pPr>
        <w:ind w:right="200" w:firstLine="921"/>
        <w:spacing w:after="0" w:line="315" w:lineRule="auto"/>
        <w:tabs>
          <w:tab w:leader="none" w:pos="125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Money Laundering Laws</w:t>
      </w:r>
      <w:r>
        <w:rPr>
          <w:rFonts w:ascii="Times New Roman" w:cs="Times New Roman" w:eastAsia="Times New Roman" w:hAnsi="Times New Roman"/>
          <w:sz w:val="17"/>
          <w:szCs w:val="17"/>
          <w:color w:val="auto"/>
        </w:rPr>
        <w:t>. No action, suit or proceeding by or before any court or governmental agency, authority or body or any arbitrator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involving the Plains Entities or the GP Entities that involve allegations of money laundering is pending or, to the knowledge of the Issuers, threatened.</w:t>
      </w:r>
    </w:p>
    <w:p>
      <w:pPr>
        <w:spacing w:after="0" w:line="27" w:lineRule="exact"/>
        <w:rPr>
          <w:rFonts w:ascii="Times New Roman" w:cs="Times New Roman" w:eastAsia="Times New Roman" w:hAnsi="Times New Roman"/>
          <w:sz w:val="17"/>
          <w:szCs w:val="17"/>
          <w:color w:val="auto"/>
        </w:rPr>
      </w:pPr>
    </w:p>
    <w:p>
      <w:pPr>
        <w:ind w:right="140" w:firstLine="921"/>
        <w:spacing w:after="0" w:line="267" w:lineRule="auto"/>
        <w:tabs>
          <w:tab w:leader="none" w:pos="11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None of the Plains Entities or the GP Entities nor, to the knowledge of the Issuers, any director, officer or employee of the Plains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or the GP Entities (in their capacity as director, officer or employee) has received notice that it is subject to any sanctions administered by the Office of Foreign Assets Control of the U.S. Treasury Department.</w:t>
      </w:r>
    </w:p>
    <w:p>
      <w:pPr>
        <w:spacing w:after="0" w:line="65" w:lineRule="exact"/>
        <w:rPr>
          <w:rFonts w:ascii="Times New Roman" w:cs="Times New Roman" w:eastAsia="Times New Roman" w:hAnsi="Times New Roman"/>
          <w:sz w:val="18"/>
          <w:szCs w:val="18"/>
          <w:color w:val="auto"/>
        </w:rPr>
      </w:pPr>
    </w:p>
    <w:p>
      <w:pPr>
        <w:ind w:right="140" w:firstLine="921"/>
        <w:spacing w:after="0" w:line="267" w:lineRule="auto"/>
        <w:tabs>
          <w:tab w:leader="none" w:pos="12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ind w:right="460" w:firstLine="913"/>
        <w:spacing w:after="0" w:line="282" w:lineRule="auto"/>
        <w:rPr>
          <w:sz w:val="20"/>
          <w:szCs w:val="20"/>
          <w:color w:val="auto"/>
        </w:rPr>
      </w:pPr>
      <w:r>
        <w:rPr>
          <w:rFonts w:ascii="Times New Roman" w:cs="Times New Roman" w:eastAsia="Times New Roman" w:hAnsi="Times New Roman"/>
          <w:sz w:val="18"/>
          <w:szCs w:val="18"/>
          <w:color w:val="auto"/>
        </w:rPr>
        <w:t>The applicable statements made in the certificates described in Sections 7(j) and 7(n) shall be deemed representations and warranties by the Issuers, as to matters covered thereby, to the Underwriters.</w:t>
      </w:r>
    </w:p>
    <w:p>
      <w:pPr>
        <w:spacing w:after="0" w:line="54" w:lineRule="exact"/>
        <w:rPr>
          <w:sz w:val="20"/>
          <w:szCs w:val="20"/>
          <w:color w:val="auto"/>
        </w:rPr>
      </w:pPr>
    </w:p>
    <w:p>
      <w:pPr>
        <w:ind w:right="60" w:firstLine="464"/>
        <w:spacing w:after="0" w:line="261"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the principal amount of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98.859% of the principal amount thereof, plus accrued interest, if any, from the Delivery Date.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ind w:left="-40" w:right="40" w:firstLine="464"/>
        <w:spacing w:after="0" w:line="255" w:lineRule="auto"/>
        <w:tabs>
          <w:tab w:leader="none" w:pos="5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and Payment</w:t>
      </w:r>
      <w:r>
        <w:rPr>
          <w:rFonts w:ascii="Times New Roman" w:cs="Times New Roman" w:eastAsia="Times New Roman" w:hAnsi="Times New Roman"/>
          <w:sz w:val="18"/>
          <w:szCs w:val="18"/>
          <w:color w:val="auto"/>
        </w:rPr>
        <w:t>. Delivery of and payment for the Notes shall be made at the office of Vinson &amp; Elkins L.L.P., 1001 Fannin, Houston, Texas 77002 at 9:00 a.m., Houston time, on April 23, 2014, or at such time on such later date not more than three business days after the foregoing date as the Representatives shall designate, which date and time may be postponed by agreement between the Representatives and the Issuers or as provided in Section 9 hereof (such date and time of delivery and payment for the Notes being herein called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0" w:right="580" w:firstLine="464"/>
        <w:spacing w:after="0" w:line="282" w:lineRule="auto"/>
        <w:tabs>
          <w:tab w:leader="none" w:pos="5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the Underwriters</w:t>
      </w:r>
      <w:r>
        <w:rPr>
          <w:rFonts w:ascii="Times New Roman" w:cs="Times New Roman" w:eastAsia="Times New Roman" w:hAnsi="Times New Roman"/>
          <w:sz w:val="18"/>
          <w:szCs w:val="18"/>
          <w:color w:val="auto"/>
        </w:rPr>
        <w:t>. It is understood that the several Underwriters propose to offer the Notes for sale to the public as set forth in the Prospectus.</w:t>
      </w:r>
    </w:p>
    <w:p>
      <w:pPr>
        <w:spacing w:after="0" w:line="53"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115" w:lineRule="exact"/>
        <w:rPr>
          <w:rFonts w:ascii="Times New Roman" w:cs="Times New Roman" w:eastAsia="Times New Roman" w:hAnsi="Times New Roman"/>
          <w:sz w:val="18"/>
          <w:szCs w:val="18"/>
          <w:color w:val="auto"/>
        </w:rPr>
      </w:pPr>
    </w:p>
    <w:p>
      <w:pPr>
        <w:ind w:left="420" w:right="80" w:firstLine="443"/>
        <w:spacing w:after="0" w:line="261" w:lineRule="auto"/>
        <w:tabs>
          <w:tab w:leader="none" w:pos="11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71" w:lineRule="exact"/>
        <w:rPr>
          <w:rFonts w:ascii="Times New Roman" w:cs="Times New Roman" w:eastAsia="Times New Roman" w:hAnsi="Times New Roman"/>
          <w:sz w:val="18"/>
          <w:szCs w:val="18"/>
          <w:color w:val="auto"/>
        </w:rPr>
      </w:pPr>
    </w:p>
    <w:p>
      <w:pPr>
        <w:ind w:left="420" w:firstLine="443"/>
        <w:spacing w:after="0" w:line="253" w:lineRule="auto"/>
        <w:tabs>
          <w:tab w:leader="none" w:pos="11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Preparation of Prospectus and Registration Statement</w:t>
      </w:r>
      <w:r>
        <w:rPr>
          <w:rFonts w:ascii="Times New Roman" w:cs="Times New Roman" w:eastAsia="Times New Roman" w:hAnsi="Times New Roman"/>
          <w:sz w:val="18"/>
          <w:szCs w:val="18"/>
          <w:color w:val="auto"/>
        </w:rPr>
        <w:t>. The Issuers will advise the Representatives promptly and, if requested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80" w:top="270" w:right="259" w:bottom="1440" w:gutter="0" w:footer="0" w:header="0"/>
        </w:sectPr>
      </w:pPr>
    </w:p>
    <w:bookmarkStart w:id="18" w:name="page19"/>
    <w:bookmarkEnd w:id="18"/>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66" w:lineRule="exact"/>
        <w:rPr>
          <w:sz w:val="20"/>
          <w:szCs w:val="20"/>
          <w:color w:val="auto"/>
        </w:rPr>
      </w:pPr>
    </w:p>
    <w:p>
      <w:pPr>
        <w:ind w:firstLine="443"/>
        <w:spacing w:after="0" w:line="261" w:lineRule="auto"/>
        <w:tabs>
          <w:tab w:leader="none" w:pos="6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Term Sheet and Issuer Free Writing Prospectuses</w:t>
      </w:r>
      <w:r>
        <w:rPr>
          <w:rFonts w:ascii="Times New Roman" w:cs="Times New Roman" w:eastAsia="Times New Roman" w:hAnsi="Times New Roman"/>
          <w:sz w:val="18"/>
          <w:szCs w:val="18"/>
          <w:color w:val="auto"/>
        </w:rPr>
        <w:t>. The Issuers agree to (i) prepare a final term sheet, containing a description of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71" w:lineRule="exact"/>
        <w:rPr>
          <w:rFonts w:ascii="Times New Roman" w:cs="Times New Roman" w:eastAsia="Times New Roman" w:hAnsi="Times New Roman"/>
          <w:sz w:val="18"/>
          <w:szCs w:val="18"/>
          <w:color w:val="auto"/>
        </w:rPr>
      </w:pPr>
    </w:p>
    <w:p>
      <w:pPr>
        <w:ind w:right="160" w:firstLine="443"/>
        <w:spacing w:after="0" w:line="257" w:lineRule="auto"/>
        <w:tabs>
          <w:tab w:leader="none" w:pos="6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Registration Statement</w:t>
      </w:r>
      <w:r>
        <w:rPr>
          <w:rFonts w:ascii="Times New Roman" w:cs="Times New Roman" w:eastAsia="Times New Roman" w:hAnsi="Times New Roman"/>
          <w:sz w:val="18"/>
          <w:szCs w:val="18"/>
          <w:color w:val="auto"/>
        </w:rPr>
        <w:t>. The Issuers will furnish to the Underwriters, without charge, (i) one copy of the manually signed copy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corresponding to the Commission’s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w:t>
      </w:r>
    </w:p>
    <w:p>
      <w:pPr>
        <w:spacing w:after="0" w:line="74" w:lineRule="exact"/>
        <w:rPr>
          <w:rFonts w:ascii="Times New Roman" w:cs="Times New Roman" w:eastAsia="Times New Roman" w:hAnsi="Times New Roman"/>
          <w:sz w:val="18"/>
          <w:szCs w:val="18"/>
          <w:color w:val="auto"/>
        </w:rPr>
      </w:pPr>
    </w:p>
    <w:p>
      <w:pPr>
        <w:ind w:right="40" w:firstLine="443"/>
        <w:spacing w:after="0" w:line="255" w:lineRule="auto"/>
        <w:tabs>
          <w:tab w:leader="none" w:pos="6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to be delivered in connection with sales by any Underwriter or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77" w:lineRule="exact"/>
        <w:rPr>
          <w:rFonts w:ascii="Times New Roman" w:cs="Times New Roman" w:eastAsia="Times New Roman" w:hAnsi="Times New Roman"/>
          <w:sz w:val="18"/>
          <w:szCs w:val="18"/>
          <w:color w:val="auto"/>
        </w:rPr>
      </w:pPr>
    </w:p>
    <w:p>
      <w:pPr>
        <w:ind w:right="20" w:firstLine="443"/>
        <w:spacing w:after="0" w:line="259" w:lineRule="auto"/>
        <w:tabs>
          <w:tab w:leader="none" w:pos="6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Documents to the Underwriters</w:t>
      </w:r>
      <w:r>
        <w:rPr>
          <w:rFonts w:ascii="Times New Roman" w:cs="Times New Roman" w:eastAsia="Times New Roman" w:hAnsi="Times New Roman"/>
          <w:sz w:val="18"/>
          <w:szCs w:val="18"/>
          <w:color w:val="auto"/>
        </w:rPr>
        <w:t>. As soon after the Applicable Time as possible and thereafter from time to time for such period as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w:t>
      </w:r>
    </w:p>
    <w:p>
      <w:pPr>
        <w:spacing w:after="0" w:line="1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700" w:top="270" w:right="25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issuance of the Prospectus, upon request and without charge, the Issuers will deliver as many copies of an amended or supplemented Prospectus complying with Section 10(a)(3) of the Securities Act as the Underwriters may reasonably request, provided that a prospectus is required by the Securities Act to be delivered in connection with sales of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85" w:lineRule="exact"/>
        <w:rPr>
          <w:sz w:val="20"/>
          <w:szCs w:val="20"/>
          <w:color w:val="auto"/>
        </w:rPr>
      </w:pPr>
    </w:p>
    <w:p>
      <w:pPr>
        <w:ind w:right="120" w:firstLine="443"/>
        <w:spacing w:after="0" w:line="255" w:lineRule="auto"/>
        <w:tabs>
          <w:tab w:leader="none" w:pos="6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Laws</w:t>
      </w:r>
      <w:r>
        <w:rPr>
          <w:rFonts w:ascii="Times New Roman" w:cs="Times New Roman" w:eastAsia="Times New Roman" w:hAnsi="Times New Roman"/>
          <w:sz w:val="18"/>
          <w:szCs w:val="18"/>
          <w:color w:val="auto"/>
        </w:rPr>
        <w:t>. The Issuers will cooperate with the Representatives and with counsel for the Underwriters in connection with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77" w:lineRule="exact"/>
        <w:rPr>
          <w:rFonts w:ascii="Times New Roman" w:cs="Times New Roman" w:eastAsia="Times New Roman" w:hAnsi="Times New Roman"/>
          <w:sz w:val="18"/>
          <w:szCs w:val="18"/>
          <w:color w:val="auto"/>
        </w:rPr>
      </w:pPr>
    </w:p>
    <w:p>
      <w:pPr>
        <w:ind w:right="300" w:firstLine="443"/>
        <w:spacing w:after="0" w:line="284" w:lineRule="auto"/>
        <w:tabs>
          <w:tab w:leader="none" w:pos="6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make generally available to their security holders an earnings statement (which need not be audited) in</w:t>
      </w:r>
    </w:p>
    <w:p>
      <w:pPr>
        <w:spacing w:after="0" w:line="9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700" w:top="270" w:right="239" w:bottom="1440" w:gutter="0" w:footer="0" w:header="0"/>
        </w:sectPr>
      </w:pPr>
    </w:p>
    <w:bookmarkStart w:id="20" w:name="page21"/>
    <w:bookmarkEnd w:id="20"/>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52" w:lineRule="exact"/>
        <w:rPr>
          <w:sz w:val="20"/>
          <w:szCs w:val="20"/>
          <w:color w:val="auto"/>
        </w:rPr>
      </w:pPr>
    </w:p>
    <w:p>
      <w:pPr>
        <w:ind w:firstLine="443"/>
        <w:spacing w:after="0" w:line="261" w:lineRule="auto"/>
        <w:tabs>
          <w:tab w:leader="none" w:pos="6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71" w:lineRule="exact"/>
        <w:rPr>
          <w:rFonts w:ascii="Times New Roman" w:cs="Times New Roman" w:eastAsia="Times New Roman" w:hAnsi="Times New Roman"/>
          <w:sz w:val="18"/>
          <w:szCs w:val="18"/>
          <w:color w:val="auto"/>
        </w:rPr>
      </w:pPr>
    </w:p>
    <w:p>
      <w:pPr>
        <w:ind w:firstLine="443"/>
        <w:spacing w:after="0" w:line="259" w:lineRule="auto"/>
        <w:tabs>
          <w:tab w:leader="none" w:pos="6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Expenses</w:t>
      </w:r>
      <w:r>
        <w:rPr>
          <w:rFonts w:ascii="Times New Roman" w:cs="Times New Roman" w:eastAsia="Times New Roman" w:hAnsi="Times New Roman"/>
          <w:sz w:val="18"/>
          <w:szCs w:val="18"/>
          <w:color w:val="auto"/>
        </w:rPr>
        <w:t>. If this Agreement shall terminate or shall be terminated after execution pursuant to any provisions hereof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pursuant to Section 9 hereof or Section 10 hereof (except pursuant to the first clause of Section 10(i)))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w:t>
      </w:r>
    </w:p>
    <w:p>
      <w:pPr>
        <w:spacing w:after="0" w:line="71" w:lineRule="exact"/>
        <w:rPr>
          <w:rFonts w:ascii="Times New Roman" w:cs="Times New Roman" w:eastAsia="Times New Roman" w:hAnsi="Times New Roman"/>
          <w:sz w:val="18"/>
          <w:szCs w:val="18"/>
          <w:color w:val="auto"/>
        </w:rPr>
      </w:pPr>
    </w:p>
    <w:p>
      <w:pPr>
        <w:ind w:right="20" w:firstLine="443"/>
        <w:spacing w:after="0" w:line="284"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caption “Use of Proceeds” in the Pricing Disclosure Package and the Prospectus.</w:t>
      </w:r>
    </w:p>
    <w:p>
      <w:pPr>
        <w:spacing w:after="0" w:line="50" w:lineRule="exact"/>
        <w:rPr>
          <w:rFonts w:ascii="Times New Roman" w:cs="Times New Roman" w:eastAsia="Times New Roman" w:hAnsi="Times New Roman"/>
          <w:sz w:val="18"/>
          <w:szCs w:val="18"/>
          <w:color w:val="auto"/>
        </w:rPr>
      </w:pPr>
    </w:p>
    <w:p>
      <w:pPr>
        <w:ind w:right="200" w:firstLine="443"/>
        <w:spacing w:after="0" w:line="284" w:lineRule="auto"/>
        <w:tabs>
          <w:tab w:leader="none" w:pos="6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Regulations and will advise the Underwriters of the time and manner of such filing.</w:t>
      </w:r>
    </w:p>
    <w:p>
      <w:pPr>
        <w:spacing w:after="0" w:line="50" w:lineRule="exact"/>
        <w:rPr>
          <w:rFonts w:ascii="Times New Roman" w:cs="Times New Roman" w:eastAsia="Times New Roman" w:hAnsi="Times New Roman"/>
          <w:sz w:val="18"/>
          <w:szCs w:val="18"/>
          <w:color w:val="auto"/>
        </w:rPr>
      </w:pPr>
    </w:p>
    <w:p>
      <w:pPr>
        <w:jc w:val="both"/>
        <w:ind w:right="100" w:firstLine="443"/>
        <w:spacing w:after="0" w:line="267" w:lineRule="auto"/>
        <w:tabs>
          <w:tab w:leader="none" w:pos="7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designed to or that might reasonably be expected to cause or result in stabilization or manipulation of the price of any security of the Issuers to facilitate the sale or resale of the Notes.</w:t>
      </w:r>
    </w:p>
    <w:p>
      <w:pPr>
        <w:spacing w:after="0" w:line="65" w:lineRule="exact"/>
        <w:rPr>
          <w:rFonts w:ascii="Times New Roman" w:cs="Times New Roman" w:eastAsia="Times New Roman" w:hAnsi="Times New Roman"/>
          <w:sz w:val="18"/>
          <w:szCs w:val="18"/>
          <w:color w:val="auto"/>
        </w:rPr>
      </w:pPr>
    </w:p>
    <w:p>
      <w:pPr>
        <w:ind w:right="80" w:firstLine="443"/>
        <w:spacing w:after="0" w:line="267"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an “investment company” within the meaning of such term under the Investment Company Act and the rules and regulations of the Commission thereunder.</w:t>
      </w:r>
    </w:p>
    <w:p>
      <w:pPr>
        <w:spacing w:after="0" w:line="65" w:lineRule="exact"/>
        <w:rPr>
          <w:rFonts w:ascii="Times New Roman" w:cs="Times New Roman" w:eastAsia="Times New Roman" w:hAnsi="Times New Roman"/>
          <w:sz w:val="18"/>
          <w:szCs w:val="18"/>
          <w:color w:val="auto"/>
        </w:rPr>
      </w:pPr>
    </w:p>
    <w:p>
      <w:pPr>
        <w:ind w:right="220" w:firstLine="443"/>
        <w:spacing w:after="0" w:line="284"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required to be filed with the Commission pursuant to the Exchange Act within the time periods required by the Exchange Act.</w:t>
      </w:r>
    </w:p>
    <w:p>
      <w:pPr>
        <w:spacing w:after="0" w:line="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700" w:top="270" w:right="339" w:bottom="1440" w:gutter="0" w:footer="0" w:header="0"/>
        </w:sectPr>
      </w:pPr>
    </w:p>
    <w:bookmarkStart w:id="21" w:name="page22"/>
    <w:bookmarkEnd w:id="21"/>
    <w:p>
      <w:pPr>
        <w:ind w:right="180" w:firstLine="443"/>
        <w:spacing w:after="0" w:line="253" w:lineRule="auto"/>
        <w:tabs>
          <w:tab w:leader="none" w:pos="6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Writing Prospectuses</w:t>
      </w:r>
      <w:r>
        <w:rPr>
          <w:rFonts w:ascii="Times New Roman" w:cs="Times New Roman" w:eastAsia="Times New Roman" w:hAnsi="Times New Roman"/>
          <w:sz w:val="18"/>
          <w:szCs w:val="18"/>
          <w:color w:val="auto"/>
        </w:rPr>
        <w:t>. The Issuers have complied and will comply with the requirements of Rule 433 of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to any Issuer Free Writing Prospectus, including appropriate legending and timely filing with the Commission or retention where required. The Issuers represent that they have satisfied 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Section 12.</w:t>
      </w:r>
    </w:p>
    <w:p>
      <w:pPr>
        <w:spacing w:after="0" w:line="82" w:lineRule="exact"/>
        <w:rPr>
          <w:rFonts w:ascii="Times New Roman" w:cs="Times New Roman" w:eastAsia="Times New Roman" w:hAnsi="Times New Roman"/>
          <w:sz w:val="18"/>
          <w:szCs w:val="18"/>
          <w:color w:val="auto"/>
        </w:rPr>
      </w:pPr>
    </w:p>
    <w:p>
      <w:pPr>
        <w:ind w:right="60" w:firstLine="443"/>
        <w:spacing w:after="0" w:line="267" w:lineRule="auto"/>
        <w:tabs>
          <w:tab w:leader="none" w:pos="6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without the prior written consent of the Representatives, offer, sell, contract to sell or otherwise dispose of any debt securities issued or guaranteed by the Issuers and having a tenor of more than one year.</w:t>
      </w:r>
    </w:p>
    <w:p>
      <w:pPr>
        <w:spacing w:after="0" w:line="67"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443"/>
        <w:spacing w:after="0" w:line="253" w:lineRule="auto"/>
        <w:tabs>
          <w:tab w:leader="none" w:pos="6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w:t>
      </w:r>
    </w:p>
    <w:p>
      <w:pPr>
        <w:spacing w:after="0" w:line="1" w:lineRule="exact"/>
        <w:rPr>
          <w:rFonts w:ascii="Times New Roman" w:cs="Times New Roman" w:eastAsia="Times New Roman" w:hAnsi="Times New Roman"/>
          <w:sz w:val="18"/>
          <w:szCs w:val="18"/>
          <w:color w:val="auto"/>
        </w:rPr>
      </w:pPr>
    </w:p>
    <w:p>
      <w:pPr>
        <w:ind w:firstLine="4"/>
        <w:spacing w:after="0" w:line="254"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Rules and Regulations) not constituting an Issuer Free Writing Prospectus (a “</w:t>
      </w:r>
      <w:r>
        <w:rPr>
          <w:rFonts w:ascii="Times New Roman" w:cs="Times New Roman" w:eastAsia="Times New Roman" w:hAnsi="Times New Roman"/>
          <w:sz w:val="18"/>
          <w:szCs w:val="18"/>
          <w:b w:val="1"/>
          <w:bCs w:val="1"/>
          <w:color w:val="auto"/>
        </w:rPr>
        <w:t>Non-Prospectus Road Show</w:t>
      </w:r>
      <w:r>
        <w:rPr>
          <w:rFonts w:ascii="Times New Roman" w:cs="Times New Roman" w:eastAsia="Times New Roman" w:hAnsi="Times New Roman"/>
          <w:sz w:val="18"/>
          <w:szCs w:val="18"/>
          <w:color w:val="auto"/>
        </w:rPr>
        <w:t>”)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700" w:top="268" w:right="259" w:bottom="1440" w:gutter="0" w:footer="0" w:header="0"/>
        </w:sectPr>
      </w:pPr>
    </w:p>
    <w:bookmarkStart w:id="22" w:name="page23"/>
    <w:bookmarkEnd w:id="2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12. The foregoing indemnity agreement is in addition to any liability that the Issuers may otherwise have to any Underwriter or to any director, officer, employee or controlling person of that Underwriter.</w:t>
      </w:r>
    </w:p>
    <w:p>
      <w:pPr>
        <w:spacing w:after="0" w:line="78" w:lineRule="exact"/>
        <w:rPr>
          <w:sz w:val="20"/>
          <w:szCs w:val="20"/>
          <w:color w:val="auto"/>
        </w:rPr>
      </w:pPr>
    </w:p>
    <w:p>
      <w:pPr>
        <w:ind w:firstLine="443"/>
        <w:spacing w:after="0" w:line="252" w:lineRule="auto"/>
        <w:tabs>
          <w:tab w:leader="none" w:pos="6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0" w:right="239" w:bottom="1440" w:gutter="0" w:footer="0" w:header="0"/>
        </w:sectPr>
      </w:pPr>
    </w:p>
    <w:bookmarkStart w:id="23" w:name="page24"/>
    <w:bookmarkEnd w:id="23"/>
    <w:p>
      <w:pPr>
        <w:ind w:firstLine="443"/>
        <w:spacing w:after="0" w:line="267" w:lineRule="auto"/>
        <w:tabs>
          <w:tab w:leader="none" w:pos="683"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agrees, severally and not jointly, to indemnify and hold harmless the Issuers, GP LLC’s directors and the officers who sign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Issuers by paragraph (b)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paragraph</w:t>
      </w:r>
    </w:p>
    <w:p>
      <w:pPr>
        <w:spacing w:after="0" w:line="1"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foregoing indemnity agreement shall be in addition to any liability that the Underwriters may otherwise have.</w:t>
      </w:r>
    </w:p>
    <w:p>
      <w:pPr>
        <w:spacing w:after="0" w:line="98" w:lineRule="exact"/>
        <w:rPr>
          <w:rFonts w:ascii="Times New Roman" w:cs="Times New Roman" w:eastAsia="Times New Roman" w:hAnsi="Times New Roman"/>
          <w:sz w:val="18"/>
          <w:szCs w:val="18"/>
          <w:color w:val="auto"/>
        </w:rPr>
      </w:pPr>
    </w:p>
    <w:p>
      <w:pPr>
        <w:ind w:right="100" w:firstLine="443"/>
        <w:spacing w:after="0" w:line="252" w:lineRule="auto"/>
        <w:tabs>
          <w:tab w:leader="none" w:pos="6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clause (i) above is not permitted by applicable law, in such proportion as is appropriate to reflect not only the relative benefits referred to in clause (i)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700" w:top="270" w:right="239" w:bottom="1440" w:gutter="0" w:footer="0" w:header="0"/>
        </w:sectPr>
      </w:pPr>
    </w:p>
    <w:bookmarkStart w:id="24" w:name="page25"/>
    <w:bookmarkEnd w:id="24"/>
    <w:p>
      <w:pPr>
        <w:ind w:firstLine="443"/>
        <w:spacing w:after="0" w:line="254" w:lineRule="auto"/>
        <w:tabs>
          <w:tab w:leader="none" w:pos="68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w:t>
      </w:r>
    </w:p>
    <w:p>
      <w:pPr>
        <w:spacing w:after="0" w:line="78" w:lineRule="exact"/>
        <w:rPr>
          <w:rFonts w:ascii="Times New Roman" w:cs="Times New Roman" w:eastAsia="Times New Roman" w:hAnsi="Times New Roman"/>
          <w:sz w:val="18"/>
          <w:szCs w:val="18"/>
          <w:color w:val="auto"/>
        </w:rPr>
      </w:pPr>
    </w:p>
    <w:p>
      <w:pPr>
        <w:ind w:right="20" w:firstLine="443"/>
        <w:spacing w:after="0" w:line="254" w:lineRule="auto"/>
        <w:tabs>
          <w:tab w:leader="none" w:pos="66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3" w:lineRule="exact"/>
        <w:rPr>
          <w:rFonts w:ascii="Times New Roman" w:cs="Times New Roman" w:eastAsia="Times New Roman" w:hAnsi="Times New Roman"/>
          <w:sz w:val="18"/>
          <w:szCs w:val="18"/>
          <w:color w:val="auto"/>
        </w:rPr>
      </w:pPr>
    </w:p>
    <w:p>
      <w:pPr>
        <w:ind w:right="40" w:firstLine="4"/>
        <w:spacing w:after="0" w:line="255"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78" w:lineRule="exact"/>
        <w:rPr>
          <w:rFonts w:ascii="Times New Roman" w:cs="Times New Roman" w:eastAsia="Times New Roman" w:hAnsi="Times New Roman"/>
          <w:sz w:val="18"/>
          <w:szCs w:val="18"/>
          <w:color w:val="auto"/>
        </w:rPr>
      </w:pPr>
    </w:p>
    <w:p>
      <w:pPr>
        <w:ind w:right="20" w:firstLine="443"/>
        <w:spacing w:after="0" w:line="256" w:lineRule="auto"/>
        <w:tabs>
          <w:tab w:leader="none" w:pos="69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or any of their respective directors or officers or any person controlling the Issuers, (ii) acceptance of any Notes and payment therefor in accordance with the terms of this Agreement, and (iii) any termination of this</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700" w:top="270" w:right="239" w:bottom="1440" w:gutter="0" w:footer="0" w:header="0"/>
        </w:sectPr>
      </w:pPr>
    </w:p>
    <w:bookmarkStart w:id="25" w:name="page26"/>
    <w:bookmarkEnd w:id="25"/>
    <w:p>
      <w:pPr>
        <w:ind w:left="42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 successor to any Underwriter or any person controlling any Underwriter, or to the Issuers, GP LLC or any of their respective directors or officers or any person controlling an Issuer shall be entitled to the benefits of the indemnity, contribution and reimbursement agreements contained in this Section 6.</w:t>
      </w:r>
    </w:p>
    <w:p>
      <w:pPr>
        <w:spacing w:after="0" w:line="176" w:lineRule="exact"/>
        <w:rPr>
          <w:sz w:val="20"/>
          <w:szCs w:val="20"/>
          <w:color w:val="auto"/>
        </w:rPr>
      </w:pPr>
    </w:p>
    <w:p>
      <w:pPr>
        <w:ind w:left="-40" w:right="340" w:firstLine="464"/>
        <w:spacing w:after="0" w:line="282" w:lineRule="auto"/>
        <w:tabs>
          <w:tab w:leader="none" w:pos="5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 following conditions:</w:t>
      </w:r>
    </w:p>
    <w:p>
      <w:pPr>
        <w:spacing w:after="0" w:line="53" w:lineRule="exact"/>
        <w:rPr>
          <w:rFonts w:ascii="Times New Roman" w:cs="Times New Roman" w:eastAsia="Times New Roman" w:hAnsi="Times New Roman"/>
          <w:sz w:val="18"/>
          <w:szCs w:val="18"/>
          <w:color w:val="auto"/>
        </w:rPr>
      </w:pPr>
    </w:p>
    <w:p>
      <w:pPr>
        <w:ind w:left="420" w:firstLine="443"/>
        <w:spacing w:after="0" w:line="255" w:lineRule="auto"/>
        <w:tabs>
          <w:tab w:leader="none" w:pos="110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81" w:lineRule="exact"/>
        <w:rPr>
          <w:rFonts w:ascii="Times New Roman" w:cs="Times New Roman" w:eastAsia="Times New Roman" w:hAnsi="Times New Roman"/>
          <w:sz w:val="18"/>
          <w:szCs w:val="18"/>
          <w:color w:val="auto"/>
        </w:rPr>
      </w:pPr>
    </w:p>
    <w:p>
      <w:pPr>
        <w:ind w:left="420" w:right="20" w:firstLine="443"/>
        <w:spacing w:after="0" w:line="255" w:lineRule="auto"/>
        <w:tabs>
          <w:tab w:leader="none" w:pos="111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77" w:lineRule="exact"/>
        <w:rPr>
          <w:rFonts w:ascii="Times New Roman" w:cs="Times New Roman" w:eastAsia="Times New Roman" w:hAnsi="Times New Roman"/>
          <w:sz w:val="18"/>
          <w:szCs w:val="18"/>
          <w:color w:val="auto"/>
        </w:rPr>
      </w:pPr>
    </w:p>
    <w:p>
      <w:pPr>
        <w:ind w:left="420" w:right="60" w:firstLine="443"/>
        <w:spacing w:after="0" w:line="282" w:lineRule="auto"/>
        <w:tabs>
          <w:tab w:leader="none" w:pos="110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an opinion of Vinson &amp; Elkins L.L.P., counsel for the Issuers, dated the Delivery Date and addressed to the Underwriters, to the effect that:</w:t>
      </w:r>
    </w:p>
    <w:p>
      <w:pPr>
        <w:spacing w:after="0" w:line="53" w:lineRule="exact"/>
        <w:rPr>
          <w:rFonts w:ascii="Times New Roman" w:cs="Times New Roman" w:eastAsia="Times New Roman" w:hAnsi="Times New Roman"/>
          <w:sz w:val="18"/>
          <w:szCs w:val="18"/>
          <w:color w:val="auto"/>
        </w:rPr>
      </w:pPr>
    </w:p>
    <w:p>
      <w:pPr>
        <w:ind w:left="880" w:right="100" w:firstLine="421"/>
        <w:spacing w:after="0" w:line="261" w:lineRule="auto"/>
        <w:tabs>
          <w:tab w:leader="none" w:pos="151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80" w:top="270" w:right="259" w:bottom="1440" w:gutter="0" w:footer="0" w:header="0"/>
        </w:sectPr>
      </w:pPr>
    </w:p>
    <w:bookmarkStart w:id="26" w:name="page27"/>
    <w:bookmarkEnd w:id="26"/>
    <w:p>
      <w:pPr>
        <w:ind w:left="-1" w:right="100" w:firstLine="421"/>
        <w:spacing w:after="0" w:line="266" w:lineRule="auto"/>
        <w:tabs>
          <w:tab w:leader="none" w:pos="6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w:t>
      </w:r>
    </w:p>
    <w:p>
      <w:pPr>
        <w:spacing w:after="0" w:line="68" w:lineRule="exact"/>
        <w:rPr>
          <w:rFonts w:ascii="Times New Roman" w:cs="Times New Roman" w:eastAsia="Times New Roman" w:hAnsi="Times New Roman"/>
          <w:sz w:val="18"/>
          <w:szCs w:val="18"/>
          <w:color w:val="auto"/>
        </w:rPr>
      </w:pPr>
    </w:p>
    <w:p>
      <w:pPr>
        <w:ind w:left="-1" w:right="220" w:firstLine="421"/>
        <w:spacing w:after="0" w:line="261" w:lineRule="auto"/>
        <w:tabs>
          <w:tab w:leader="none" w:pos="73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71" w:lineRule="exact"/>
        <w:rPr>
          <w:rFonts w:ascii="Times New Roman" w:cs="Times New Roman" w:eastAsia="Times New Roman" w:hAnsi="Times New Roman"/>
          <w:sz w:val="18"/>
          <w:szCs w:val="18"/>
          <w:color w:val="auto"/>
        </w:rPr>
      </w:pPr>
    </w:p>
    <w:p>
      <w:pPr>
        <w:ind w:left="719" w:hanging="299"/>
        <w:spacing w:after="0"/>
        <w:tabs>
          <w:tab w:leader="none" w:pos="7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capital stock or other equity interests (other than general partner interests) of each Domestic Subsidiary</w:t>
      </w:r>
    </w:p>
    <w:p>
      <w:pPr>
        <w:spacing w:after="0" w:line="27" w:lineRule="exact"/>
        <w:rPr>
          <w:rFonts w:ascii="Times New Roman" w:cs="Times New Roman" w:eastAsia="Times New Roman" w:hAnsi="Times New Roman"/>
          <w:sz w:val="18"/>
          <w:szCs w:val="18"/>
          <w:color w:val="auto"/>
        </w:rPr>
      </w:pPr>
    </w:p>
    <w:p>
      <w:pPr>
        <w:ind w:left="-1" w:firstLine="1"/>
        <w:spacing w:after="0" w:line="251" w:lineRule="auto"/>
        <w:tabs>
          <w:tab w:leader="none" w:pos="2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spacing w:after="0" w:line="84" w:lineRule="exact"/>
        <w:rPr>
          <w:rFonts w:ascii="Times New Roman" w:cs="Times New Roman" w:eastAsia="Times New Roman" w:hAnsi="Times New Roman"/>
          <w:sz w:val="18"/>
          <w:szCs w:val="18"/>
          <w:color w:val="auto"/>
        </w:rPr>
      </w:pPr>
    </w:p>
    <w:p>
      <w:pPr>
        <w:jc w:val="both"/>
        <w:ind w:left="-1" w:right="60" w:firstLine="421"/>
        <w:spacing w:after="0" w:line="261" w:lineRule="auto"/>
        <w:tabs>
          <w:tab w:leader="none" w:pos="6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w:t>
      </w:r>
    </w:p>
    <w:p>
      <w:pPr>
        <w:spacing w:after="0" w:line="113" w:lineRule="exact"/>
        <w:rPr>
          <w:sz w:val="20"/>
          <w:szCs w:val="20"/>
          <w:color w:val="auto"/>
        </w:rPr>
      </w:pPr>
    </w:p>
    <w:p>
      <w:pPr>
        <w:ind w:left="46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99"/>
          </w:cols>
          <w:pgMar w:left="1161" w:top="270" w:right="23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72" w:lineRule="exact"/>
        <w:rPr>
          <w:sz w:val="20"/>
          <w:szCs w:val="20"/>
          <w:color w:val="auto"/>
        </w:rPr>
      </w:pPr>
    </w:p>
    <w:p>
      <w:pPr>
        <w:ind w:right="60" w:firstLine="421"/>
        <w:spacing w:after="0" w:line="266" w:lineRule="auto"/>
        <w:tabs>
          <w:tab w:leader="none" w:pos="72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has the requisite partnership or corporate, as applicable, power and authority to issue, sell and deliver the Notes, in accordance with and upon the terms and conditions set forth in this Agreement, its respective Organizational Documents, the Indenture, the Registration Statement, the Pricing Disclosure Package and the Prospectus.</w:t>
      </w:r>
    </w:p>
    <w:p>
      <w:pPr>
        <w:spacing w:after="0" w:line="68" w:lineRule="exact"/>
        <w:rPr>
          <w:rFonts w:ascii="Times New Roman" w:cs="Times New Roman" w:eastAsia="Times New Roman" w:hAnsi="Times New Roman"/>
          <w:sz w:val="18"/>
          <w:szCs w:val="18"/>
          <w:color w:val="auto"/>
        </w:rPr>
      </w:pPr>
    </w:p>
    <w:p>
      <w:pPr>
        <w:jc w:val="both"/>
        <w:ind w:right="20" w:firstLine="421"/>
        <w:spacing w:after="0" w:line="266" w:lineRule="auto"/>
        <w:tabs>
          <w:tab w:leader="none" w:pos="77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w:t>
      </w:r>
    </w:p>
    <w:p>
      <w:pPr>
        <w:spacing w:after="0" w:line="68" w:lineRule="exact"/>
        <w:rPr>
          <w:rFonts w:ascii="Times New Roman" w:cs="Times New Roman" w:eastAsia="Times New Roman" w:hAnsi="Times New Roman"/>
          <w:sz w:val="18"/>
          <w:szCs w:val="18"/>
          <w:color w:val="auto"/>
        </w:rPr>
      </w:pPr>
    </w:p>
    <w:p>
      <w:pPr>
        <w:ind w:left="820" w:hanging="399"/>
        <w:spacing w:after="0"/>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w:t>
      </w:r>
    </w:p>
    <w:p>
      <w:pPr>
        <w:spacing w:after="0" w:line="117" w:lineRule="exact"/>
        <w:rPr>
          <w:rFonts w:ascii="Times New Roman" w:cs="Times New Roman" w:eastAsia="Times New Roman" w:hAnsi="Times New Roman"/>
          <w:sz w:val="18"/>
          <w:szCs w:val="18"/>
          <w:color w:val="auto"/>
        </w:rPr>
      </w:pPr>
    </w:p>
    <w:p>
      <w:pPr>
        <w:ind w:left="720" w:hanging="299"/>
        <w:spacing w:after="0"/>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each of the Issuers.</w:t>
      </w:r>
    </w:p>
    <w:p>
      <w:pPr>
        <w:spacing w:after="0" w:line="117" w:lineRule="exact"/>
        <w:rPr>
          <w:rFonts w:ascii="Times New Roman" w:cs="Times New Roman" w:eastAsia="Times New Roman" w:hAnsi="Times New Roman"/>
          <w:sz w:val="18"/>
          <w:szCs w:val="18"/>
          <w:color w:val="auto"/>
        </w:rPr>
      </w:pPr>
    </w:p>
    <w:p>
      <w:pPr>
        <w:ind w:right="140" w:firstLine="421"/>
        <w:spacing w:after="0" w:line="272" w:lineRule="auto"/>
        <w:tabs>
          <w:tab w:leader="none" w:pos="67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Base Indenture and the Supplemental Indenture thereto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enforceability thereof may be limited by</w:t>
      </w:r>
    </w:p>
    <w:p>
      <w:pPr>
        <w:spacing w:after="0" w:line="1" w:lineRule="exact"/>
        <w:rPr>
          <w:rFonts w:ascii="Times New Roman" w:cs="Times New Roman" w:eastAsia="Times New Roman" w:hAnsi="Times New Roman"/>
          <w:sz w:val="17"/>
          <w:szCs w:val="17"/>
          <w:color w:val="auto"/>
        </w:rPr>
      </w:pPr>
    </w:p>
    <w:p>
      <w:pPr>
        <w:ind w:firstLine="1"/>
        <w:spacing w:after="0" w:line="254" w:lineRule="auto"/>
        <w:tabs>
          <w:tab w:leader="none" w:pos="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77" w:lineRule="exact"/>
        <w:rPr>
          <w:rFonts w:ascii="Times New Roman" w:cs="Times New Roman" w:eastAsia="Times New Roman" w:hAnsi="Times New Roman"/>
          <w:sz w:val="18"/>
          <w:szCs w:val="18"/>
          <w:color w:val="auto"/>
        </w:rPr>
      </w:pPr>
    </w:p>
    <w:p>
      <w:pPr>
        <w:ind w:right="140" w:firstLine="421"/>
        <w:spacing w:after="0" w:line="258" w:lineRule="auto"/>
        <w:tabs>
          <w:tab w:leader="none" w:pos="72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w:t>
      </w:r>
    </w:p>
    <w:p>
      <w:pPr>
        <w:spacing w:after="0" w:line="1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40"/>
          </w:cols>
          <w:pgMar w:left="1160" w:top="270" w:right="299" w:bottom="1440" w:gutter="0" w:footer="0" w:header="0"/>
        </w:sectPr>
      </w:pPr>
    </w:p>
    <w:bookmarkStart w:id="28" w:name="page29"/>
    <w:bookmarkEnd w:id="28"/>
    <w:p>
      <w:pPr>
        <w:ind w:right="4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0" w:lineRule="exact"/>
        <w:rPr>
          <w:sz w:val="20"/>
          <w:szCs w:val="20"/>
          <w:color w:val="auto"/>
        </w:rPr>
      </w:pPr>
    </w:p>
    <w:p>
      <w:pPr>
        <w:ind w:firstLine="421"/>
        <w:spacing w:after="0" w:line="255" w:lineRule="auto"/>
        <w:tabs>
          <w:tab w:leader="none" w:pos="7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81" w:lineRule="exact"/>
        <w:rPr>
          <w:rFonts w:ascii="Times New Roman" w:cs="Times New Roman" w:eastAsia="Times New Roman" w:hAnsi="Times New Roman"/>
          <w:sz w:val="18"/>
          <w:szCs w:val="18"/>
          <w:color w:val="auto"/>
        </w:rPr>
      </w:pPr>
    </w:p>
    <w:p>
      <w:pPr>
        <w:ind w:right="20" w:firstLine="421"/>
        <w:spacing w:after="0" w:line="252" w:lineRule="auto"/>
        <w:tabs>
          <w:tab w:leader="none" w:pos="8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as amended, among the Partnership, certain subsidiaries of the Partnership from time to time party thereto and Bank of America, N.A., as administrative agent, and the other lenders party thereto (the “</w:t>
      </w:r>
      <w:r>
        <w:rPr>
          <w:rFonts w:ascii="Times New Roman" w:cs="Times New Roman" w:eastAsia="Times New Roman" w:hAnsi="Times New Roman"/>
          <w:sz w:val="18"/>
          <w:szCs w:val="18"/>
          <w:b w:val="1"/>
          <w:bCs w:val="1"/>
          <w:color w:val="auto"/>
        </w:rPr>
        <w:t>PAA Facility</w:t>
      </w:r>
      <w:r>
        <w:rPr>
          <w:rFonts w:ascii="Times New Roman" w:cs="Times New Roman" w:eastAsia="Times New Roman" w:hAnsi="Times New Roman"/>
          <w:sz w:val="18"/>
          <w:szCs w:val="18"/>
          <w:color w:val="auto"/>
        </w:rPr>
        <w:t>”) and (iii) the Second Amended and Restated Credit Agreement dated September 26, 2013 (as amended, the “</w:t>
      </w:r>
      <w:r>
        <w:rPr>
          <w:rFonts w:ascii="Times New Roman" w:cs="Times New Roman" w:eastAsia="Times New Roman" w:hAnsi="Times New Roman"/>
          <w:sz w:val="18"/>
          <w:szCs w:val="18"/>
          <w:b w:val="1"/>
          <w:bCs w:val="1"/>
          <w:color w:val="auto"/>
        </w:rPr>
        <w:t>Plains AAP Facility</w:t>
      </w:r>
      <w:r>
        <w:rPr>
          <w:rFonts w:ascii="Times New Roman" w:cs="Times New Roman" w:eastAsia="Times New Roman" w:hAnsi="Times New Roman"/>
          <w:sz w:val="18"/>
          <w:szCs w:val="18"/>
          <w:color w:val="auto"/>
        </w:rPr>
        <w:t>”), by and among Plains AAP, the lenders party thereto and Citibank, N.A., as administrative agent (3) results or will result in any violation of the Delaware LP Act, the Delaware LLC Act,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laws of the State of Texas or federal law, or (4) results or will result in the creation or imposition of any Lien upon any property or assets of either of the Issuers, the Domestic Subsidiaries or the GP Entities which conflicts, breaches, violations or defaults in the case of clauses (2), (3) or (4) would reasonably be expected to have a Material Adverse Effect or materially impair the ability of the Issuers to consummate the transactions contemplated by this Agreement, it being understood that such counsel need not express an opinion in clause (3) of this paragraph (xiii) with respect to any securities or other anti-fraud law.</w:t>
      </w:r>
    </w:p>
    <w:p>
      <w:pPr>
        <w:spacing w:after="0" w:line="1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00"/>
          </w:cols>
          <w:pgMar w:left="1160" w:top="270" w:right="239" w:bottom="1440" w:gutter="0" w:footer="0" w:header="0"/>
        </w:sectPr>
      </w:pPr>
    </w:p>
    <w:bookmarkStart w:id="29" w:name="page30"/>
    <w:bookmarkEnd w:id="29"/>
    <w:p>
      <w:pPr>
        <w:ind w:firstLine="421"/>
        <w:spacing w:after="0" w:line="276" w:lineRule="auto"/>
        <w:tabs>
          <w:tab w:leader="none" w:pos="8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filing with or order of any federal, Delaware or Texas court, governmental agency or body having jurisdiction over the Issuers, the GP Entities, the Domestic Subsidiaries or any of their respective properties is required in connection with</w:t>
      </w:r>
    </w:p>
    <w:p>
      <w:pPr>
        <w:ind w:right="80" w:firstLine="1"/>
        <w:spacing w:after="0" w:line="250" w:lineRule="auto"/>
        <w:tabs>
          <w:tab w:leader="none" w:pos="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issuance and sale by the Issuers of the Notes, (B) the execution, delivery and performance of this Agreement by the Issuers and the consummation of the transactions contemplated by this Agreement, or (C) the execution and delivery of the Base Indenture and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such other that have been obtained or taken and are in full force and effect.</w:t>
      </w:r>
    </w:p>
    <w:p>
      <w:pPr>
        <w:spacing w:after="0" w:line="98" w:lineRule="exact"/>
        <w:rPr>
          <w:rFonts w:ascii="Times New Roman" w:cs="Times New Roman" w:eastAsia="Times New Roman" w:hAnsi="Times New Roman"/>
          <w:sz w:val="18"/>
          <w:szCs w:val="18"/>
          <w:color w:val="auto"/>
        </w:rPr>
      </w:pPr>
    </w:p>
    <w:p>
      <w:pPr>
        <w:ind w:right="100" w:firstLine="421"/>
        <w:spacing w:after="0" w:line="258" w:lineRule="auto"/>
        <w:tabs>
          <w:tab w:leader="none" w:pos="76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right="80" w:firstLine="421"/>
        <w:spacing w:after="0" w:line="258" w:lineRule="auto"/>
        <w:tabs>
          <w:tab w:leader="none" w:pos="81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became effective under the Securities Act upon its filing on September 27, 2012;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w:t>
      </w:r>
    </w:p>
    <w:p>
      <w:pPr>
        <w:spacing w:after="0" w:line="75" w:lineRule="exact"/>
        <w:rPr>
          <w:rFonts w:ascii="Times New Roman" w:cs="Times New Roman" w:eastAsia="Times New Roman" w:hAnsi="Times New Roman"/>
          <w:sz w:val="18"/>
          <w:szCs w:val="18"/>
          <w:color w:val="auto"/>
        </w:rPr>
      </w:pPr>
    </w:p>
    <w:p>
      <w:pPr>
        <w:ind w:right="40" w:firstLine="421"/>
        <w:spacing w:after="0" w:line="261" w:lineRule="auto"/>
        <w:tabs>
          <w:tab w:leader="none" w:pos="86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80"/>
          </w:cols>
          <w:pgMar w:left="1160" w:top="270" w:right="259" w:bottom="1440" w:gutter="0" w:footer="0" w:header="0"/>
        </w:sectPr>
      </w:pPr>
    </w:p>
    <w:bookmarkStart w:id="30" w:name="page31"/>
    <w:bookmarkEnd w:id="30"/>
    <w:p>
      <w:pPr>
        <w:ind w:left="460" w:firstLine="421"/>
        <w:spacing w:after="0" w:line="266" w:lineRule="auto"/>
        <w:tabs>
          <w:tab w:leader="none" w:pos="13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an “investment company” as such term is defined in the Investment Company Act.</w:t>
      </w:r>
    </w:p>
    <w:p>
      <w:pPr>
        <w:spacing w:after="0" w:line="68" w:lineRule="exact"/>
        <w:rPr>
          <w:sz w:val="20"/>
          <w:szCs w:val="20"/>
          <w:color w:val="auto"/>
        </w:rPr>
      </w:pPr>
    </w:p>
    <w:p>
      <w:pPr>
        <w:ind w:right="100" w:firstLine="438"/>
        <w:spacing w:after="0" w:line="254"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w:t>
      </w:r>
    </w:p>
    <w:p>
      <w:pPr>
        <w:spacing w:after="0" w:line="3" w:lineRule="exact"/>
        <w:rPr>
          <w:sz w:val="20"/>
          <w:szCs w:val="20"/>
          <w:color w:val="auto"/>
        </w:rPr>
      </w:pPr>
    </w:p>
    <w:p>
      <w:pPr>
        <w:ind w:left="340" w:hanging="336"/>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on the basis of the foregoing, no facts have come to the attention of such counsel that lead them to believe that:</w:t>
      </w:r>
    </w:p>
    <w:p>
      <w:pPr>
        <w:spacing w:after="0" w:line="98" w:lineRule="exact"/>
        <w:rPr>
          <w:rFonts w:ascii="Times New Roman" w:cs="Times New Roman" w:eastAsia="Times New Roman" w:hAnsi="Times New Roman"/>
          <w:sz w:val="18"/>
          <w:szCs w:val="18"/>
          <w:color w:val="auto"/>
        </w:rPr>
      </w:pPr>
    </w:p>
    <w:p>
      <w:pPr>
        <w:ind w:right="20" w:firstLine="443"/>
        <w:spacing w:after="0" w:line="282" w:lineRule="auto"/>
        <w:tabs>
          <w:tab w:leader="none" w:pos="7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53" w:lineRule="exact"/>
        <w:rPr>
          <w:rFonts w:ascii="Times New Roman" w:cs="Times New Roman" w:eastAsia="Times New Roman" w:hAnsi="Times New Roman"/>
          <w:sz w:val="18"/>
          <w:szCs w:val="18"/>
          <w:color w:val="auto"/>
        </w:rPr>
      </w:pPr>
    </w:p>
    <w:p>
      <w:pPr>
        <w:ind w:right="180" w:firstLine="443"/>
        <w:spacing w:after="0" w:line="282" w:lineRule="auto"/>
        <w:tabs>
          <w:tab w:leader="none" w:pos="7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53" w:lineRule="exact"/>
        <w:rPr>
          <w:rFonts w:ascii="Times New Roman" w:cs="Times New Roman" w:eastAsia="Times New Roman" w:hAnsi="Times New Roman"/>
          <w:sz w:val="18"/>
          <w:szCs w:val="18"/>
          <w:color w:val="auto"/>
        </w:rPr>
      </w:pPr>
    </w:p>
    <w:p>
      <w:pPr>
        <w:jc w:val="both"/>
        <w:ind w:right="240" w:firstLine="443"/>
        <w:spacing w:after="0" w:line="282" w:lineRule="auto"/>
        <w:tabs>
          <w:tab w:leader="none" w:pos="7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5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72" w:lineRule="exact"/>
        <w:rPr>
          <w:sz w:val="20"/>
          <w:szCs w:val="20"/>
          <w:color w:val="auto"/>
        </w:rPr>
      </w:pPr>
    </w:p>
    <w:p>
      <w:pPr>
        <w:ind w:right="20" w:firstLine="438"/>
        <w:spacing w:after="0" w:line="255"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the laws of the State of Texas and the laws of the State of New York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700" w:top="270" w:right="239" w:bottom="1440" w:gutter="0" w:footer="0" w:header="0"/>
        </w:sectPr>
      </w:pPr>
    </w:p>
    <w:bookmarkStart w:id="31" w:name="page32"/>
    <w:bookmarkEnd w:id="31"/>
    <w:p>
      <w:pPr>
        <w:ind w:right="140" w:firstLine="443"/>
        <w:spacing w:after="0" w:line="255" w:lineRule="auto"/>
        <w:tabs>
          <w:tab w:leader="none" w:pos="6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an opinion of Fulbright &amp; Jaworski L.L.P., special counsel for the Issuers, dated the Delivery Date and addressed to the 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 which shall include (1) the Hedged Inventory Facility, (2) PAA Facility, (3) the Plains AAP Facility and (4) the Commercial Paper Dealer Agreement dated August 14, 2013, by and among the Partnership and J.P. Morgan Securities LLC, as dealer).</w:t>
      </w:r>
    </w:p>
    <w:p>
      <w:pPr>
        <w:spacing w:after="0" w:line="81" w:lineRule="exact"/>
        <w:rPr>
          <w:sz w:val="20"/>
          <w:szCs w:val="20"/>
          <w:color w:val="auto"/>
        </w:rPr>
      </w:pPr>
    </w:p>
    <w:p>
      <w:pPr>
        <w:ind w:right="40" w:firstLine="438"/>
        <w:spacing w:after="0" w:line="258"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and the Issuers,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exclusive of conflict of law principles, excepting in the foregoing instance, municipal, local and county ordinances, laws, rules and regulations.</w:t>
      </w:r>
    </w:p>
    <w:p>
      <w:pPr>
        <w:spacing w:after="0" w:line="76" w:lineRule="exact"/>
        <w:rPr>
          <w:sz w:val="20"/>
          <w:szCs w:val="20"/>
          <w:color w:val="auto"/>
        </w:rPr>
      </w:pPr>
    </w:p>
    <w:p>
      <w:pPr>
        <w:jc w:val="both"/>
        <w:ind w:right="360" w:firstLine="438"/>
        <w:spacing w:after="0" w:line="266" w:lineRule="auto"/>
        <w:rPr>
          <w:sz w:val="20"/>
          <w:szCs w:val="20"/>
          <w:color w:val="auto"/>
        </w:rPr>
      </w:pPr>
      <w:r>
        <w:rPr>
          <w:rFonts w:ascii="Times New Roman" w:cs="Times New Roman" w:eastAsia="Times New Roman" w:hAnsi="Times New Roman"/>
          <w:sz w:val="18"/>
          <w:szCs w:val="18"/>
          <w:color w:val="auto"/>
        </w:rPr>
        <w:t>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68" w:lineRule="exact"/>
        <w:rPr>
          <w:sz w:val="20"/>
          <w:szCs w:val="20"/>
          <w:color w:val="auto"/>
        </w:rPr>
      </w:pPr>
    </w:p>
    <w:p>
      <w:pPr>
        <w:ind w:right="740" w:firstLine="443"/>
        <w:spacing w:after="0" w:line="282" w:lineRule="auto"/>
        <w:tabs>
          <w:tab w:leader="none" w:pos="6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an opinion of the general counsel for GP LLC dated the Delivery Date and addressed to the Underwriters, to the effect that:</w:t>
      </w:r>
    </w:p>
    <w:p>
      <w:pPr>
        <w:spacing w:after="0" w:line="53" w:lineRule="exact"/>
        <w:rPr>
          <w:rFonts w:ascii="Times New Roman" w:cs="Times New Roman" w:eastAsia="Times New Roman" w:hAnsi="Times New Roman"/>
          <w:sz w:val="18"/>
          <w:szCs w:val="18"/>
          <w:color w:val="auto"/>
        </w:rPr>
      </w:pPr>
    </w:p>
    <w:p>
      <w:pPr>
        <w:ind w:left="460" w:firstLine="421"/>
        <w:spacing w:after="0" w:line="253" w:lineRule="auto"/>
        <w:tabs>
          <w:tab w:leader="none" w:pos="1095"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(i) the Hedged Inventory Facility,</w:t>
      </w:r>
    </w:p>
    <w:p>
      <w:pPr>
        <w:spacing w:after="0" w:line="3" w:lineRule="exact"/>
        <w:rPr>
          <w:rFonts w:ascii="Times New Roman" w:cs="Times New Roman" w:eastAsia="Times New Roman" w:hAnsi="Times New Roman"/>
          <w:sz w:val="18"/>
          <w:szCs w:val="18"/>
          <w:color w:val="auto"/>
        </w:rPr>
      </w:pPr>
    </w:p>
    <w:p>
      <w:pPr>
        <w:ind w:left="720" w:hanging="259"/>
        <w:spacing w:after="0"/>
        <w:tabs>
          <w:tab w:leader="none" w:pos="7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PAA Facility</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700" w:top="270" w:right="259" w:bottom="1440" w:gutter="0" w:footer="0" w:header="0"/>
        </w:sectPr>
      </w:pPr>
    </w:p>
    <w:bookmarkStart w:id="32" w:name="page33"/>
    <w:bookmarkEnd w:id="32"/>
    <w:p>
      <w:pPr>
        <w:ind w:left="4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(iii) the Plains AAP Facility) or (2) violates or will violate any statute, law or regulation or any order, judgment, decree or injunction known to such counsel of any court or governmental agency or body directed to either of the Issuers, the GP Entities or the Material Subsidiaries or any of their respective properties in a proceeding to which any of them is a party, which would, in the case of either (1) or (2), reasonably be expected to have a Material Adverse Effect or materially impair the ability of the Issuers to consummate the transactions contemplated by this Agreement.</w:t>
      </w:r>
    </w:p>
    <w:p>
      <w:pPr>
        <w:spacing w:after="0" w:line="57" w:lineRule="exact"/>
        <w:rPr>
          <w:sz w:val="20"/>
          <w:szCs w:val="20"/>
          <w:color w:val="auto"/>
        </w:rPr>
      </w:pPr>
    </w:p>
    <w:p>
      <w:pPr>
        <w:jc w:val="both"/>
        <w:ind w:left="460" w:right="60" w:firstLine="421"/>
        <w:spacing w:after="0" w:line="266" w:lineRule="auto"/>
        <w:tabs>
          <w:tab w:leader="none" w:pos="11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68" w:lineRule="exact"/>
        <w:rPr>
          <w:rFonts w:ascii="Times New Roman" w:cs="Times New Roman" w:eastAsia="Times New Roman" w:hAnsi="Times New Roman"/>
          <w:sz w:val="18"/>
          <w:szCs w:val="18"/>
          <w:color w:val="auto"/>
        </w:rPr>
      </w:pPr>
    </w:p>
    <w:p>
      <w:pPr>
        <w:ind w:left="460" w:right="220" w:firstLine="421"/>
        <w:spacing w:after="0" w:line="266" w:lineRule="auto"/>
        <w:tabs>
          <w:tab w:leader="none" w:pos="11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68" w:lineRule="exact"/>
        <w:rPr>
          <w:sz w:val="20"/>
          <w:szCs w:val="20"/>
          <w:color w:val="auto"/>
        </w:rPr>
      </w:pPr>
    </w:p>
    <w:p>
      <w:pPr>
        <w:ind w:right="180" w:firstLine="438"/>
        <w:spacing w:after="0" w:line="256" w:lineRule="auto"/>
        <w:rPr>
          <w:sz w:val="20"/>
          <w:szCs w:val="20"/>
          <w:color w:val="auto"/>
        </w:rPr>
      </w:pPr>
      <w:r>
        <w:rPr>
          <w:rFonts w:ascii="Times New Roman" w:cs="Times New Roman" w:eastAsia="Times New Roman" w:hAnsi="Times New Roman"/>
          <w:sz w:val="18"/>
          <w:szCs w:val="18"/>
          <w:color w:val="auto"/>
        </w:rPr>
        <w:t>In addition, such counsel shall state that he has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80" w:lineRule="exact"/>
        <w:rPr>
          <w:sz w:val="20"/>
          <w:szCs w:val="20"/>
          <w:color w:val="auto"/>
        </w:rPr>
      </w:pPr>
    </w:p>
    <w:p>
      <w:pPr>
        <w:ind w:firstLine="443"/>
        <w:spacing w:after="0" w:line="282" w:lineRule="auto"/>
        <w:tabs>
          <w:tab w:leader="none" w:pos="7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53" w:lineRule="exact"/>
        <w:rPr>
          <w:rFonts w:ascii="Times New Roman" w:cs="Times New Roman" w:eastAsia="Times New Roman" w:hAnsi="Times New Roman"/>
          <w:sz w:val="18"/>
          <w:szCs w:val="18"/>
          <w:color w:val="auto"/>
        </w:rPr>
      </w:pPr>
    </w:p>
    <w:p>
      <w:pPr>
        <w:ind w:right="160" w:firstLine="443"/>
        <w:spacing w:after="0" w:line="282" w:lineRule="auto"/>
        <w:tabs>
          <w:tab w:leader="none" w:pos="7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53" w:lineRule="exact"/>
        <w:rPr>
          <w:rFonts w:ascii="Times New Roman" w:cs="Times New Roman" w:eastAsia="Times New Roman" w:hAnsi="Times New Roman"/>
          <w:sz w:val="18"/>
          <w:szCs w:val="18"/>
          <w:color w:val="auto"/>
        </w:rPr>
      </w:pPr>
    </w:p>
    <w:p>
      <w:pPr>
        <w:jc w:val="both"/>
        <w:ind w:right="220" w:firstLine="443"/>
        <w:spacing w:after="0" w:line="282" w:lineRule="auto"/>
        <w:tabs>
          <w:tab w:leader="none" w:pos="7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700" w:top="270" w:right="259" w:bottom="1440" w:gutter="0" w:footer="0" w:header="0"/>
        </w:sectPr>
      </w:pPr>
    </w:p>
    <w:bookmarkStart w:id="33" w:name="page34"/>
    <w:bookmarkEnd w:id="33"/>
    <w:p>
      <w:pPr>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72" w:lineRule="exact"/>
        <w:rPr>
          <w:sz w:val="20"/>
          <w:szCs w:val="20"/>
          <w:color w:val="auto"/>
        </w:rPr>
      </w:pPr>
    </w:p>
    <w:p>
      <w:pPr>
        <w:ind w:right="40" w:firstLine="438"/>
        <w:spacing w:after="0" w:line="256" w:lineRule="auto"/>
        <w:rPr>
          <w:sz w:val="20"/>
          <w:szCs w:val="20"/>
          <w:color w:val="auto"/>
        </w:rPr>
      </w:pPr>
      <w:r>
        <w:rPr>
          <w:rFonts w:ascii="Times New Roman" w:cs="Times New Roman" w:eastAsia="Times New Roman" w:hAnsi="Times New Roman"/>
          <w:sz w:val="18"/>
          <w:szCs w:val="18"/>
          <w:color w:val="auto"/>
        </w:rPr>
        <w:t>In rendering such opinion, such counsel may rely in respect of matters of fact upon (A) information obtained from public officials or public records and (B) to the extent such counsel deems appropriate, certificates of officers and employees of GP LLC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Section 7(e)(i)(2) above or (y) state or local taxes or tax statutes.</w:t>
      </w:r>
    </w:p>
    <w:p>
      <w:pPr>
        <w:spacing w:after="0" w:line="80" w:lineRule="exact"/>
        <w:rPr>
          <w:sz w:val="20"/>
          <w:szCs w:val="20"/>
          <w:color w:val="auto"/>
        </w:rPr>
      </w:pPr>
    </w:p>
    <w:p>
      <w:pPr>
        <w:ind w:right="60" w:firstLine="443"/>
        <w:spacing w:after="0" w:line="282" w:lineRule="auto"/>
        <w:tabs>
          <w:tab w:leader="none" w:pos="6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an opinion of internal Canadian counsel for the Partnership, dated the Delivery Date and addressed to the Underwriters, to the effect that:</w:t>
      </w:r>
    </w:p>
    <w:p>
      <w:pPr>
        <w:spacing w:after="0" w:line="53"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Midstream Canada ULC, a British Columbia unlimited liability company (“Plains Midstream Canada”) has been duly</w:t>
      </w:r>
    </w:p>
    <w:p>
      <w:pPr>
        <w:spacing w:after="0" w:line="27" w:lineRule="exact"/>
        <w:rPr>
          <w:rFonts w:ascii="Times New Roman" w:cs="Times New Roman" w:eastAsia="Times New Roman" w:hAnsi="Times New Roman"/>
          <w:sz w:val="18"/>
          <w:szCs w:val="18"/>
          <w:color w:val="auto"/>
        </w:rPr>
      </w:pPr>
    </w:p>
    <w:p>
      <w:pPr>
        <w:ind w:left="4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79" w:lineRule="exact"/>
        <w:rPr>
          <w:rFonts w:ascii="Times New Roman" w:cs="Times New Roman" w:eastAsia="Times New Roman" w:hAnsi="Times New Roman"/>
          <w:sz w:val="18"/>
          <w:szCs w:val="18"/>
          <w:color w:val="auto"/>
        </w:rPr>
      </w:pPr>
    </w:p>
    <w:p>
      <w:pPr>
        <w:ind w:left="460" w:firstLine="421"/>
        <w:spacing w:after="0" w:line="261" w:lineRule="auto"/>
        <w:tabs>
          <w:tab w:leader="none" w:pos="11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71" w:lineRule="exact"/>
        <w:rPr>
          <w:rFonts w:ascii="Times New Roman" w:cs="Times New Roman" w:eastAsia="Times New Roman" w:hAnsi="Times New Roman"/>
          <w:sz w:val="18"/>
          <w:szCs w:val="18"/>
          <w:color w:val="auto"/>
        </w:rPr>
      </w:pPr>
    </w:p>
    <w:p>
      <w:pPr>
        <w:ind w:left="460" w:right="20" w:firstLine="421"/>
        <w:spacing w:after="0" w:line="258" w:lineRule="auto"/>
        <w:tabs>
          <w:tab w:leader="none" w:pos="119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700" w:top="270" w:right="239" w:bottom="1440" w:gutter="0" w:footer="0" w:header="0"/>
        </w:sectPr>
      </w:pPr>
    </w:p>
    <w:bookmarkStart w:id="34" w:name="page35"/>
    <w:bookmarkEnd w:id="34"/>
    <w:p>
      <w:pPr>
        <w:ind w:left="460" w:right="180" w:firstLine="421"/>
        <w:spacing w:after="0" w:line="266" w:lineRule="auto"/>
        <w:tabs>
          <w:tab w:leader="none" w:pos="11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Issuers of the Notes or the execution, delivery and performance of the Indenture by the Issuers.</w:t>
      </w:r>
    </w:p>
    <w:p>
      <w:pPr>
        <w:spacing w:after="0" w:line="68" w:lineRule="exact"/>
        <w:rPr>
          <w:rFonts w:ascii="Times New Roman" w:cs="Times New Roman" w:eastAsia="Times New Roman" w:hAnsi="Times New Roman"/>
          <w:sz w:val="18"/>
          <w:szCs w:val="18"/>
          <w:color w:val="auto"/>
        </w:rPr>
      </w:pPr>
    </w:p>
    <w:p>
      <w:pPr>
        <w:ind w:left="460" w:right="60" w:firstLine="421"/>
        <w:spacing w:after="0" w:line="255"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81" w:lineRule="exact"/>
        <w:rPr>
          <w:rFonts w:ascii="Times New Roman" w:cs="Times New Roman" w:eastAsia="Times New Roman" w:hAnsi="Times New Roman"/>
          <w:sz w:val="18"/>
          <w:szCs w:val="18"/>
          <w:color w:val="auto"/>
        </w:rPr>
      </w:pPr>
    </w:p>
    <w:p>
      <w:pPr>
        <w:ind w:left="460" w:right="260" w:firstLine="421"/>
        <w:spacing w:after="0" w:line="258" w:lineRule="auto"/>
        <w:tabs>
          <w:tab w:leader="none" w:pos="11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connection with the transactions contemplated by this Agreement as if such opinion letter were addressed and delivered to them on the date thereof and</w:t>
      </w:r>
    </w:p>
    <w:p>
      <w:pPr>
        <w:spacing w:after="0" w:line="21" w:lineRule="exact"/>
        <w:rPr>
          <w:sz w:val="20"/>
          <w:szCs w:val="20"/>
          <w:color w:val="auto"/>
        </w:rPr>
      </w:pPr>
    </w:p>
    <w:p>
      <w:pPr>
        <w:jc w:val="both"/>
        <w:ind w:right="360" w:firstLine="4"/>
        <w:spacing w:after="0" w:line="261" w:lineRule="auto"/>
        <w:tabs>
          <w:tab w:leader="none" w:pos="2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71" w:lineRule="exact"/>
        <w:rPr>
          <w:rFonts w:ascii="Times New Roman" w:cs="Times New Roman" w:eastAsia="Times New Roman" w:hAnsi="Times New Roman"/>
          <w:sz w:val="18"/>
          <w:szCs w:val="18"/>
          <w:color w:val="auto"/>
        </w:rPr>
      </w:pPr>
    </w:p>
    <w:p>
      <w:pPr>
        <w:ind w:right="60" w:firstLine="443"/>
        <w:spacing w:after="0" w:line="261" w:lineRule="auto"/>
        <w:tabs>
          <w:tab w:leader="none" w:pos="69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700" w:top="270" w:right="299" w:bottom="1440" w:gutter="0" w:footer="0" w:header="0"/>
        </w:sectPr>
      </w:pPr>
    </w:p>
    <w:bookmarkStart w:id="35" w:name="page36"/>
    <w:bookmarkEnd w:id="35"/>
    <w:p>
      <w:pPr>
        <w:ind w:firstLine="443"/>
        <w:spacing w:after="0" w:line="256" w:lineRule="auto"/>
        <w:tabs>
          <w:tab w:leader="none" w:pos="6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five days prior to the date of such letter.</w:t>
      </w:r>
    </w:p>
    <w:p>
      <w:pPr>
        <w:spacing w:after="0" w:line="79" w:lineRule="exact"/>
        <w:rPr>
          <w:rFonts w:ascii="Times New Roman" w:cs="Times New Roman" w:eastAsia="Times New Roman" w:hAnsi="Times New Roman"/>
          <w:sz w:val="18"/>
          <w:szCs w:val="18"/>
          <w:color w:val="auto"/>
        </w:rPr>
      </w:pPr>
    </w:p>
    <w:p>
      <w:pPr>
        <w:ind w:right="40" w:firstLine="443"/>
        <w:spacing w:after="0" w:line="266" w:lineRule="auto"/>
        <w:tabs>
          <w:tab w:leader="none" w:pos="6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Delivery Date, the Representatives shall have received from PricewaterhouseCoopers LLP a letter, dated as of the Delivery Date, to the effect that it reaffirms the statements made in the respective letter furnished pursuant to paragraph (h) of this Section 7, except that the date referred to in the proviso in Section 7(h) hereof shall be a date not more than three business days prior to the Delivery Date.</w:t>
      </w:r>
    </w:p>
    <w:p>
      <w:pPr>
        <w:spacing w:after="0" w:line="68" w:lineRule="exact"/>
        <w:rPr>
          <w:rFonts w:ascii="Times New Roman" w:cs="Times New Roman" w:eastAsia="Times New Roman" w:hAnsi="Times New Roman"/>
          <w:sz w:val="18"/>
          <w:szCs w:val="18"/>
          <w:color w:val="auto"/>
        </w:rPr>
      </w:pPr>
    </w:p>
    <w:p>
      <w:pPr>
        <w:ind w:right="120" w:firstLine="443"/>
        <w:spacing w:after="0" w:line="261" w:lineRule="auto"/>
        <w:tabs>
          <w:tab w:leader="none" w:pos="6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71" w:lineRule="exact"/>
        <w:rPr>
          <w:rFonts w:ascii="Times New Roman" w:cs="Times New Roman" w:eastAsia="Times New Roman" w:hAnsi="Times New Roman"/>
          <w:sz w:val="18"/>
          <w:szCs w:val="18"/>
          <w:color w:val="auto"/>
        </w:rPr>
      </w:pPr>
    </w:p>
    <w:p>
      <w:pPr>
        <w:ind w:left="460" w:right="80" w:firstLine="421"/>
        <w:spacing w:after="0" w:line="266" w:lineRule="auto"/>
        <w:tabs>
          <w:tab w:leader="none" w:pos="11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w:t>
      </w:r>
    </w:p>
    <w:p>
      <w:pPr>
        <w:spacing w:after="0" w:line="68" w:lineRule="exact"/>
        <w:rPr>
          <w:rFonts w:ascii="Times New Roman" w:cs="Times New Roman" w:eastAsia="Times New Roman" w:hAnsi="Times New Roman"/>
          <w:sz w:val="18"/>
          <w:szCs w:val="18"/>
          <w:color w:val="auto"/>
        </w:rPr>
      </w:pPr>
    </w:p>
    <w:p>
      <w:pPr>
        <w:ind w:left="460" w:right="520" w:firstLine="421"/>
        <w:spacing w:after="0" w:line="282" w:lineRule="auto"/>
        <w:tabs>
          <w:tab w:leader="none" w:pos="11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53" w:lineRule="exact"/>
        <w:rPr>
          <w:rFonts w:ascii="Times New Roman" w:cs="Times New Roman" w:eastAsia="Times New Roman" w:hAnsi="Times New Roman"/>
          <w:sz w:val="18"/>
          <w:szCs w:val="18"/>
          <w:color w:val="auto"/>
        </w:rPr>
      </w:pPr>
    </w:p>
    <w:p>
      <w:pPr>
        <w:jc w:val="both"/>
        <w:ind w:left="460" w:right="120" w:firstLine="421"/>
        <w:spacing w:after="0" w:line="261" w:lineRule="auto"/>
        <w:tabs>
          <w:tab w:leader="none" w:pos="11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Registration Statement, as of the Effective Date, (ii) the Prospectus, as of its date and on the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700" w:top="270" w:right="239" w:bottom="1440" w:gutter="0" w:footer="0" w:header="0"/>
        </w:sectPr>
      </w:pPr>
    </w:p>
    <w:bookmarkStart w:id="36" w:name="page37"/>
    <w:bookmarkEnd w:id="36"/>
    <w:p>
      <w:pPr>
        <w:ind w:left="460" w:right="60" w:firstLine="443"/>
        <w:spacing w:after="0" w:line="256" w:lineRule="auto"/>
        <w:tabs>
          <w:tab w:leader="none" w:pos="11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w:t>
      </w:r>
    </w:p>
    <w:p>
      <w:pPr>
        <w:spacing w:after="0" w:line="75" w:lineRule="exact"/>
        <w:rPr>
          <w:rFonts w:ascii="Times New Roman" w:cs="Times New Roman" w:eastAsia="Times New Roman" w:hAnsi="Times New Roman"/>
          <w:sz w:val="18"/>
          <w:szCs w:val="18"/>
          <w:color w:val="auto"/>
        </w:rPr>
      </w:pPr>
    </w:p>
    <w:p>
      <w:pPr>
        <w:ind w:left="460" w:right="160" w:firstLine="443"/>
        <w:spacing w:after="0" w:line="256" w:lineRule="auto"/>
        <w:tabs>
          <w:tab w:leader="none" w:pos="11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Delivery Date, the Notes shall be rated at least “Baa2” by Moody’s Investors Services,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and “BBB” by Standard &amp; Poor’s Ratings Services, a division of The McGraw-Hill Companies, Inc.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(A) the Notes below “Baa2” by Moody’s and “BBB” by S&amp;P or (B) either of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79"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2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Trustee shall have executed and delivered the Supplemental Indenture, and the Issuers shall have executed and delivered the Global Notes.</w:t>
      </w:r>
    </w:p>
    <w:p>
      <w:pPr>
        <w:spacing w:after="0" w:line="53" w:lineRule="exact"/>
        <w:rPr>
          <w:rFonts w:ascii="Times New Roman" w:cs="Times New Roman" w:eastAsia="Times New Roman" w:hAnsi="Times New Roman"/>
          <w:sz w:val="18"/>
          <w:szCs w:val="18"/>
          <w:color w:val="auto"/>
        </w:rPr>
      </w:pPr>
    </w:p>
    <w:p>
      <w:pPr>
        <w:ind w:left="460" w:right="120" w:firstLine="443"/>
        <w:spacing w:after="0" w:line="282" w:lineRule="auto"/>
        <w:tabs>
          <w:tab w:leader="none" w:pos="11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62" w:lineRule="exact"/>
        <w:rPr>
          <w:sz w:val="20"/>
          <w:szCs w:val="20"/>
          <w:color w:val="auto"/>
        </w:rPr>
      </w:pPr>
    </w:p>
    <w:p>
      <w:pPr>
        <w:jc w:val="both"/>
        <w:ind w:right="100" w:firstLine="913"/>
        <w:spacing w:after="0" w:line="266" w:lineRule="auto"/>
        <w:rPr>
          <w:sz w:val="20"/>
          <w:szCs w:val="20"/>
          <w:color w:val="auto"/>
        </w:rPr>
      </w:pPr>
      <w:r>
        <w:rPr>
          <w:rFonts w:ascii="Times New Roman" w:cs="Times New Roman" w:eastAsia="Times New Roman" w:hAnsi="Times New Roman"/>
          <w:sz w:val="18"/>
          <w:szCs w:val="18"/>
          <w:color w:val="auto"/>
        </w:rPr>
        <w:t>All such opinions, certificates, letters and other documents referred to in this Section 7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270" w:right="299" w:bottom="1440" w:gutter="0" w:footer="0" w:header="0"/>
        </w:sectPr>
      </w:pPr>
    </w:p>
    <w:bookmarkStart w:id="37" w:name="page38"/>
    <w:bookmarkEnd w:id="37"/>
    <w:p>
      <w:pPr>
        <w:ind w:right="100" w:firstLine="464"/>
        <w:spacing w:after="0" w:line="253" w:lineRule="auto"/>
        <w:tabs>
          <w:tab w:leader="none" w:pos="6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r>
        <w:rPr>
          <w:rFonts w:ascii="Times New Roman" w:cs="Times New Roman" w:eastAsia="Times New Roman" w:hAnsi="Times New Roman"/>
          <w:sz w:val="18"/>
          <w:szCs w:val="18"/>
          <w:color w:val="auto"/>
        </w:rPr>
        <w:t>.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3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194"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It is understood, however, that except as otherwise provided in this Section 8 or Section 5(j)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72" w:lineRule="exact"/>
        <w:rPr>
          <w:sz w:val="20"/>
          <w:szCs w:val="20"/>
          <w:color w:val="auto"/>
        </w:rPr>
      </w:pPr>
    </w:p>
    <w:p>
      <w:pPr>
        <w:ind w:right="20" w:firstLine="464"/>
        <w:spacing w:after="0" w:line="255"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Citigroup Global Markets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270" w:right="279" w:bottom="1440" w:gutter="0" w:footer="0" w:header="0"/>
        </w:sectPr>
      </w:pPr>
    </w:p>
    <w:bookmarkStart w:id="38" w:name="page39"/>
    <w:bookmarkEnd w:id="3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Any notice under this Section 9 may be given by telegram, telecopy or telephone but shall be subsequently confirmed by letter.</w:t>
      </w:r>
    </w:p>
    <w:p>
      <w:pPr>
        <w:spacing w:after="0" w:line="225" w:lineRule="exact"/>
        <w:rPr>
          <w:sz w:val="20"/>
          <w:szCs w:val="20"/>
          <w:color w:val="auto"/>
        </w:rPr>
      </w:pPr>
    </w:p>
    <w:p>
      <w:pPr>
        <w:ind w:right="20" w:firstLine="464"/>
        <w:spacing w:after="0" w:line="253" w:lineRule="auto"/>
        <w:tabs>
          <w:tab w:leader="none" w:pos="7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This Agreement shall be subject to termination in the Representatives’ absolute discretion, without liability on 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92" w:lineRule="exact"/>
        <w:rPr>
          <w:rFonts w:ascii="Times New Roman" w:cs="Times New Roman" w:eastAsia="Times New Roman" w:hAnsi="Times New Roman"/>
          <w:sz w:val="18"/>
          <w:szCs w:val="18"/>
          <w:color w:val="auto"/>
        </w:rPr>
      </w:pPr>
    </w:p>
    <w:p>
      <w:pPr>
        <w:ind w:firstLine="464"/>
        <w:spacing w:after="0" w:line="25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Successors</w:t>
      </w:r>
      <w:r>
        <w:rPr>
          <w:rFonts w:ascii="Times New Roman" w:cs="Times New Roman" w:eastAsia="Times New Roman" w:hAnsi="Times New Roman"/>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Citigroup Global Markets Inc. General Counsel (facsimile: (212) 816-7912) and confirmed to the General Counsel, Citigroup Global Markets Inc., at 388 Greenwich Street, New York, New York 10013, Attention: General Counsel, with a copy (which shall not constitute notice) to Baker Botts L.L.P., 910 Louisiana St., Houston, Texas 77002, Attention: Joshua Davidson; or, if sent to either of the Issuers, will be mailed, delivered or telefaxed to (713) 646-4313 and confirmed to it at 333 Clay St., Suite 1600, Houston, Texas 77002, Attention: General Counsel.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0" w:right="259" w:bottom="1440" w:gutter="0" w:footer="0" w:header="0"/>
        </w:sectPr>
      </w:pPr>
    </w:p>
    <w:bookmarkStart w:id="39" w:name="page40"/>
    <w:bookmarkEnd w:id="39"/>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and is made solely for the benefit of the several Underwriters and their directors, officers, employees, agents and other controlling persons referred to in Section 6 hereof and the Issuers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184" w:lineRule="exact"/>
        <w:rPr>
          <w:sz w:val="20"/>
          <w:szCs w:val="20"/>
          <w:color w:val="auto"/>
        </w:rPr>
      </w:pPr>
    </w:p>
    <w:p>
      <w:pPr>
        <w:ind w:right="120" w:firstLine="464"/>
        <w:spacing w:after="0" w:line="258" w:lineRule="auto"/>
        <w:tabs>
          <w:tab w:leader="none" w:pos="7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Furnished by the Underwriters</w:t>
      </w:r>
      <w:r>
        <w:rPr>
          <w:rFonts w:ascii="Times New Roman" w:cs="Times New Roman" w:eastAsia="Times New Roman" w:hAnsi="Times New Roman"/>
          <w:sz w:val="18"/>
          <w:szCs w:val="18"/>
          <w:color w:val="auto"/>
        </w:rPr>
        <w:t>. The Issuers acknowledge that the following statements set forth in the most recent Preliminary Prospectus and the Prospectus constitute the only information furnished by or on behalf of the Underwriters through the Representatives as such information is referred to in Sections 1(c), 1(d), 1(f), 1(g), 5(p), 6(a) and 6(c) hereof: (A) the names of the Underwriters, (B) the table under the first paragraph under the heading “Underwriting,” (C) the first paragraph under the heading “Underwriting — Underwriting Discounts” related to concessions and (D) the paragraph under the heading “Underwriting — Stabilization and Short Positions.”</w:t>
      </w:r>
    </w:p>
    <w:p>
      <w:pPr>
        <w:spacing w:after="0" w:line="183" w:lineRule="exact"/>
        <w:rPr>
          <w:rFonts w:ascii="Times New Roman" w:cs="Times New Roman" w:eastAsia="Times New Roman" w:hAnsi="Times New Roman"/>
          <w:sz w:val="18"/>
          <w:szCs w:val="18"/>
          <w:color w:val="auto"/>
        </w:rPr>
      </w:pPr>
    </w:p>
    <w:p>
      <w:pPr>
        <w:ind w:right="20" w:firstLine="464"/>
        <w:spacing w:after="0" w:line="254" w:lineRule="auto"/>
        <w:tabs>
          <w:tab w:leader="none" w:pos="7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9" w:lineRule="exact"/>
        <w:rPr>
          <w:rFonts w:ascii="Times New Roman" w:cs="Times New Roman" w:eastAsia="Times New Roman" w:hAnsi="Times New Roman"/>
          <w:sz w:val="18"/>
          <w:szCs w:val="18"/>
          <w:color w:val="auto"/>
        </w:rPr>
      </w:pPr>
    </w:p>
    <w:p>
      <w:pPr>
        <w:ind w:firstLine="464"/>
        <w:spacing w:after="0" w:line="282" w:lineRule="auto"/>
        <w:tabs>
          <w:tab w:leader="none" w:pos="7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0" w:right="239" w:bottom="1440" w:gutter="0" w:footer="0" w:header="0"/>
        </w:sectPr>
      </w:pPr>
    </w:p>
    <w:bookmarkStart w:id="40" w:name="page41"/>
    <w:bookmarkEnd w:id="40"/>
    <w:p>
      <w:pPr>
        <w:ind w:left="-40" w:firstLine="464"/>
        <w:spacing w:after="0" w:line="254" w:lineRule="auto"/>
        <w:tabs>
          <w:tab w:leader="none" w:pos="6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89" w:lineRule="exact"/>
        <w:rPr>
          <w:rFonts w:ascii="Times New Roman" w:cs="Times New Roman" w:eastAsia="Times New Roman" w:hAnsi="Times New Roman"/>
          <w:sz w:val="18"/>
          <w:szCs w:val="18"/>
          <w:color w:val="auto"/>
        </w:rPr>
      </w:pPr>
    </w:p>
    <w:p>
      <w:pPr>
        <w:jc w:val="both"/>
        <w:ind w:left="-40" w:right="100" w:firstLine="464"/>
        <w:spacing w:after="0" w:line="261" w:lineRule="auto"/>
        <w:tabs>
          <w:tab w:leader="none" w:pos="6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Counterparts</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280" w:top="270"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agreement among the Issuers and the Underwriters.</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4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PAA GP LLC</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PLAINS AAP, L.P.</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17145</wp:posOffset>
            </wp:positionV>
            <wp:extent cx="2487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Charles Kingswell-Smith</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17145</wp:posOffset>
            </wp:positionV>
            <wp:extent cx="24872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Charles Kingswell-Smith</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p>
      <w:pPr>
        <w:sectPr>
          <w:pgSz w:w="11900" w:h="16838" w:orient="portrait"/>
          <w:cols w:equalWidth="0" w:num="1">
            <w:col w:w="9360"/>
          </w:cols>
          <w:pgMar w:left="1160" w:top="270" w:right="1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Citigroup Global Markets Inc.</w:t>
            </w:r>
          </w:p>
        </w:tc>
        <w:tc>
          <w:tcPr>
            <w:tcW w:w="220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SunTrust Robinson Humphrey, Inc.</w:t>
            </w:r>
          </w:p>
        </w:tc>
      </w:tr>
      <w:tr>
        <w:trPr>
          <w:trHeight w:val="432"/>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  /s/ Brian D. Bednarski</w:t>
            </w:r>
          </w:p>
        </w:tc>
        <w:tc>
          <w:tcPr>
            <w:tcW w:w="2200" w:type="dxa"/>
            <w:vAlign w:val="bottom"/>
          </w:tcPr>
          <w:p>
            <w:pPr>
              <w:spacing w:after="0"/>
              <w:rPr>
                <w:sz w:val="24"/>
                <w:szCs w:val="24"/>
                <w:color w:val="auto"/>
              </w:rPr>
            </w:pPr>
          </w:p>
        </w:tc>
        <w:tc>
          <w:tcPr>
            <w:tcW w:w="5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By:  /s/ Frank P. Tantillo</w:t>
            </w:r>
          </w:p>
        </w:tc>
      </w:tr>
      <w:tr>
        <w:trPr>
          <w:trHeight w:val="205"/>
        </w:trPr>
        <w:tc>
          <w:tcPr>
            <w:tcW w:w="760" w:type="dxa"/>
            <w:vAlign w:val="bottom"/>
          </w:tcPr>
          <w:p>
            <w:pPr>
              <w:spacing w:after="0"/>
              <w:rPr>
                <w:sz w:val="17"/>
                <w:szCs w:val="17"/>
                <w:color w:val="auto"/>
              </w:rPr>
            </w:pPr>
          </w:p>
        </w:tc>
        <w:tc>
          <w:tcPr>
            <w:tcW w:w="2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Brian D. Bednarski</w:t>
            </w:r>
          </w:p>
        </w:tc>
        <w:tc>
          <w:tcPr>
            <w:tcW w:w="22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Frank P. Tantillo</w:t>
            </w:r>
          </w:p>
        </w:tc>
      </w:tr>
      <w:tr>
        <w:trPr>
          <w:trHeight w:val="234"/>
        </w:trPr>
        <w:tc>
          <w:tcPr>
            <w:tcW w:w="7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UBS Securities LLC</w:t>
            </w:r>
          </w:p>
        </w:tc>
        <w:tc>
          <w:tcPr>
            <w:tcW w:w="220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Wells Fargo Securities, LLC</w:t>
            </w:r>
          </w:p>
        </w:tc>
      </w:tr>
      <w:tr>
        <w:trPr>
          <w:trHeight w:val="432"/>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  /s/ Mark Spadaccini</w:t>
            </w:r>
          </w:p>
        </w:tc>
        <w:tc>
          <w:tcPr>
            <w:tcW w:w="2200" w:type="dxa"/>
            <w:vAlign w:val="bottom"/>
          </w:tcPr>
          <w:p>
            <w:pPr>
              <w:spacing w:after="0"/>
              <w:rPr>
                <w:sz w:val="24"/>
                <w:szCs w:val="24"/>
                <w:color w:val="auto"/>
              </w:rPr>
            </w:pPr>
          </w:p>
        </w:tc>
        <w:tc>
          <w:tcPr>
            <w:tcW w:w="5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By:  /s/ Carolyn Hurley</w:t>
            </w:r>
          </w:p>
        </w:tc>
      </w:tr>
      <w:tr>
        <w:trPr>
          <w:trHeight w:val="205"/>
        </w:trPr>
        <w:tc>
          <w:tcPr>
            <w:tcW w:w="760" w:type="dxa"/>
            <w:vAlign w:val="bottom"/>
          </w:tcPr>
          <w:p>
            <w:pPr>
              <w:spacing w:after="0"/>
              <w:rPr>
                <w:sz w:val="17"/>
                <w:szCs w:val="17"/>
                <w:color w:val="auto"/>
              </w:rPr>
            </w:pPr>
          </w:p>
        </w:tc>
        <w:tc>
          <w:tcPr>
            <w:tcW w:w="2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Mark Spadaccini</w:t>
            </w:r>
          </w:p>
        </w:tc>
        <w:tc>
          <w:tcPr>
            <w:tcW w:w="22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Carolyn Hurley</w:t>
            </w:r>
          </w:p>
        </w:tc>
      </w:tr>
      <w:tr>
        <w:trPr>
          <w:trHeight w:val="234"/>
        </w:trPr>
        <w:tc>
          <w:tcPr>
            <w:tcW w:w="7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2"/>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  /s/ Chelseay Boulos</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5"/>
        </w:trPr>
        <w:tc>
          <w:tcPr>
            <w:tcW w:w="760" w:type="dxa"/>
            <w:vAlign w:val="bottom"/>
          </w:tcPr>
          <w:p>
            <w:pPr>
              <w:spacing w:after="0"/>
              <w:rPr>
                <w:sz w:val="17"/>
                <w:szCs w:val="17"/>
                <w:color w:val="auto"/>
              </w:rPr>
            </w:pPr>
          </w:p>
        </w:tc>
        <w:tc>
          <w:tcPr>
            <w:tcW w:w="2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Chelseay Boulos</w:t>
            </w:r>
          </w:p>
        </w:tc>
        <w:tc>
          <w:tcPr>
            <w:tcW w:w="22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234"/>
        </w:trPr>
        <w:tc>
          <w:tcPr>
            <w:tcW w:w="7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Title: Associate Director</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92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tc>
      </w:tr>
    </w:tbl>
    <w:p>
      <w:pPr>
        <w:sectPr>
          <w:pgSz w:w="11900" w:h="16838" w:orient="portrait"/>
          <w:cols w:equalWidth="0" w:num="1">
            <w:col w:w="11420"/>
          </w:cols>
          <w:pgMar w:left="240" w:top="270"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180" w:type="dxa"/>
            <w:vAlign w:val="bottom"/>
            <w:gridSpan w:val="4"/>
          </w:tcPr>
          <w:p>
            <w:pPr>
              <w:ind w:left="18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Notes to be</w:t>
            </w:r>
          </w:p>
        </w:tc>
        <w:tc>
          <w:tcPr>
            <w:tcW w:w="0" w:type="dxa"/>
            <w:vAlign w:val="bottom"/>
          </w:tcPr>
          <w:p>
            <w:pPr>
              <w:spacing w:after="0"/>
              <w:rPr>
                <w:sz w:val="1"/>
                <w:szCs w:val="1"/>
                <w:color w:val="auto"/>
              </w:rPr>
            </w:pPr>
          </w:p>
        </w:tc>
      </w:tr>
      <w:tr>
        <w:trPr>
          <w:trHeight w:val="160"/>
        </w:trPr>
        <w:tc>
          <w:tcPr>
            <w:tcW w:w="4580" w:type="dxa"/>
            <w:vAlign w:val="bottom"/>
            <w:gridSpan w:val="2"/>
            <w:vMerge w:val="continue"/>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SunTrust Robinson Humphrey, Inc.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UFJ Securities (USA), Inc.</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Bank N.V.</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Schedule I to Underwriting Agreement</w:t>
      </w:r>
    </w:p>
    <w:p>
      <w:pPr>
        <w:sectPr>
          <w:pgSz w:w="11900" w:h="16838" w:orient="portrait"/>
          <w:cols w:equalWidth="0" w:num="1">
            <w:col w:w="10220"/>
          </w:cols>
          <w:pgMar w:left="1440" w:top="266" w:right="239" w:bottom="1440" w:gutter="0" w:footer="0" w:header="0"/>
        </w:sectPr>
      </w:pPr>
    </w:p>
    <w:bookmarkStart w:id="44" w:name="page45"/>
    <w:bookmarkEnd w:id="44"/>
    <w:tbl>
      <w:tblPr>
        <w:tblLayout w:type="fixed"/>
        <w:tblInd w:w="382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457"/>
        </w:trPr>
        <w:tc>
          <w:tcPr>
            <w:tcW w:w="4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20"/>
        </w:trPr>
        <w:tc>
          <w:tcPr>
            <w:tcW w:w="4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$700,000,000 4.700% Senior Notes due 2044</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Registration No. 333-184137</w:t>
            </w:r>
          </w:p>
        </w:tc>
      </w:tr>
      <w:tr>
        <w:trPr>
          <w:trHeight w:val="234"/>
        </w:trPr>
        <w:tc>
          <w:tcPr>
            <w:tcW w:w="4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2014</w:t>
            </w:r>
          </w:p>
        </w:tc>
      </w:tr>
    </w:tbl>
    <w:p>
      <w:pPr>
        <w:jc w:val="right"/>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Format: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Ratings (Moody’s / S&amp;P)*: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 (T+5):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Yield: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(after estimated expenses) to the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at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[Ratings Intentionally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3.750% due November 15, 2043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bps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T+20 bps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December 15, 2043</w:t>
      </w:r>
    </w:p>
    <w:p>
      <w:pPr>
        <w:spacing w:after="0" w:line="9" w:lineRule="exact"/>
        <w:rPr>
          <w:sz w:val="20"/>
          <w:szCs w:val="20"/>
          <w:color w:val="auto"/>
        </w:rPr>
      </w:pPr>
    </w:p>
    <w:p>
      <w:pPr>
        <w:ind w:right="1000"/>
        <w:spacing w:after="0" w:line="250" w:lineRule="auto"/>
        <w:rPr>
          <w:sz w:val="20"/>
          <w:szCs w:val="20"/>
          <w:color w:val="auto"/>
        </w:rPr>
      </w:pPr>
      <w:r>
        <w:rPr>
          <w:rFonts w:ascii="Times New Roman" w:cs="Times New Roman" w:eastAsia="Times New Roman" w:hAnsi="Times New Roman"/>
          <w:sz w:val="18"/>
          <w:szCs w:val="18"/>
          <w:color w:val="auto"/>
        </w:rPr>
        <w:t>June 15 and December 15, beginning on December 15, 2014 72650R BE1 / US72650RBE18 Citigroup Global Markets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Mitsubishi UFJ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Bank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5340" w:space="720"/>
            <w:col w:w="5360"/>
          </w:cols>
          <w:pgMar w:left="240" w:top="257" w:right="239" w:bottom="1440" w:gutter="0" w:footer="0" w:header="0"/>
          <w:type w:val="continuous"/>
        </w:sectPr>
      </w:pPr>
    </w:p>
    <w:p>
      <w:pPr>
        <w:spacing w:after="0" w:line="47" w:lineRule="exact"/>
        <w:rPr>
          <w:sz w:val="20"/>
          <w:szCs w:val="20"/>
          <w:color w:val="auto"/>
        </w:rPr>
      </w:pPr>
    </w:p>
    <w:p>
      <w:pPr>
        <w:ind w:left="4280" w:right="1940" w:hanging="4272"/>
        <w:spacing w:after="0" w:line="532" w:lineRule="auto"/>
        <w:tabs>
          <w:tab w:leader="none" w:pos="4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 Schedule II to Underwriting Agreement</w:t>
      </w:r>
    </w:p>
    <w:p>
      <w:pPr>
        <w:sectPr>
          <w:pgSz w:w="11900" w:h="16838" w:orient="portrait"/>
          <w:cols w:equalWidth="0" w:num="1">
            <w:col w:w="11420"/>
          </w:cols>
          <w:pgMar w:left="240" w:top="257" w:right="239" w:bottom="1440" w:gutter="0" w:footer="0" w:header="0"/>
          <w:type w:val="continuous"/>
        </w:sectPr>
      </w:pPr>
    </w:p>
    <w:bookmarkStart w:id="45" w:name="page46"/>
    <w:bookmarkEnd w:id="45"/>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the notes is expected to be made against payment therefor on or about April 23, 2014,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at 1-800-831-9146, SunTrust Robinson Humphrey, Inc. at 1-800-685-4786, UBS Securities LLC at 1-877-827-6444, ext. 5613884, or Wells Fargo Securities, LLC at 1-800-326-5897.</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Schedule II to Underwriting Agreement</w:t>
      </w:r>
    </w:p>
    <w:p>
      <w:pPr>
        <w:sectPr>
          <w:pgSz w:w="11900" w:h="16838" w:orient="portrait"/>
          <w:cols w:equalWidth="0" w:num="1">
            <w:col w:w="11420"/>
          </w:cols>
          <w:pgMar w:left="240" w:top="270" w:right="239" w:bottom="1440" w:gutter="0" w:footer="0" w:header="0"/>
        </w:sectPr>
      </w:pPr>
    </w:p>
    <w:bookmarkStart w:id="46" w:name="page47"/>
    <w:bookmarkEnd w:id="46"/>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LPG Services LP</w:t>
      </w:r>
    </w:p>
    <w:p>
      <w:pPr>
        <w:spacing w:after="0" w:line="2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Schedule III to Underwriting Agreement</w:t>
      </w:r>
    </w:p>
    <w:p>
      <w:pPr>
        <w:sectPr>
          <w:pgSz w:w="11900" w:h="16838" w:orient="portrait"/>
          <w:cols w:equalWidth="0" w:num="1">
            <w:col w:w="10219"/>
          </w:cols>
          <w:pgMar w:left="240" w:top="266" w:right="1440" w:bottom="1440" w:gutter="0" w:footer="0" w:header="0"/>
        </w:sectPr>
      </w:pPr>
    </w:p>
    <w:bookmarkStart w:id="47" w:name="page48"/>
    <w:bookmarkEnd w:id="47"/>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LPG Services LP</w:t>
      </w:r>
    </w:p>
    <w:p>
      <w:pPr>
        <w:spacing w:after="0" w:line="2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Schedule IV to Underwriting Agreement</w:t>
      </w:r>
    </w:p>
    <w:p>
      <w:pPr>
        <w:sectPr>
          <w:pgSz w:w="11900" w:h="16838" w:orient="portrait"/>
          <w:cols w:equalWidth="0" w:num="1">
            <w:col w:w="10219"/>
          </w:cols>
          <w:pgMar w:left="240" w:top="266"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180" w:type="dxa"/>
            <w:vAlign w:val="bottom"/>
            <w:gridSpan w:val="3"/>
          </w:tcPr>
          <w:p>
            <w:pPr>
              <w:jc w:val="center"/>
              <w:ind w:right="5168"/>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19"/>
        </w:trPr>
        <w:tc>
          <w:tcPr>
            <w:tcW w:w="5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Entity</w:t>
            </w: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2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Jurisdiction in which registered or qualified</w:t>
            </w:r>
          </w:p>
        </w:tc>
      </w:tr>
      <w:tr>
        <w:trPr>
          <w:trHeight w:val="31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w:t>
            </w:r>
          </w:p>
        </w:tc>
      </w:tr>
      <w:tr>
        <w:trPr>
          <w:trHeight w:val="324"/>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Products Terminals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30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Manitoba, New Brunswick, Nova Scotia, Ontario, Quebec,</w:t>
            </w:r>
          </w:p>
        </w:tc>
      </w:tr>
      <w:tr>
        <w:trPr>
          <w:trHeight w:val="234"/>
        </w:trPr>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Saskatchewan</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South Texas Gathering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Pacific Pipeline System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West Coast Terminals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Rocky Mountain Pipeline System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Pine Prairie Energy Center,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 Resources Mississippi LLC</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 Mississippi</w:t>
            </w:r>
          </w:p>
        </w:tc>
      </w:tr>
      <w:tr>
        <w:trPr>
          <w:trHeight w:val="32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LPG Services LP</w:t>
            </w:r>
          </w:p>
        </w:tc>
        <w:tc>
          <w:tcPr>
            <w:tcW w:w="8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Oklahoma</w:t>
            </w:r>
          </w:p>
        </w:tc>
      </w:tr>
      <w:tr>
        <w:trPr>
          <w:trHeight w:val="432"/>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180" w:type="dxa"/>
            <w:vAlign w:val="bottom"/>
            <w:gridSpan w:val="3"/>
          </w:tcPr>
          <w:p>
            <w:pPr>
              <w:jc w:val="center"/>
              <w:ind w:right="5168"/>
              <w:spacing w:after="0"/>
              <w:rPr>
                <w:sz w:val="20"/>
                <w:szCs w:val="20"/>
                <w:color w:val="auto"/>
              </w:rPr>
            </w:pPr>
            <w:r>
              <w:rPr>
                <w:rFonts w:ascii="Times New Roman" w:cs="Times New Roman" w:eastAsia="Times New Roman" w:hAnsi="Times New Roman"/>
                <w:sz w:val="18"/>
                <w:szCs w:val="18"/>
                <w:color w:val="auto"/>
              </w:rPr>
              <w:t>Exhibit A-1</w:t>
            </w:r>
          </w:p>
        </w:tc>
      </w:tr>
    </w:tbl>
    <w:p>
      <w:pPr>
        <w:jc w:val="center"/>
        <w:ind w:right="5168"/>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15, 2014</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December 31, 2013. In addition, as of the date of this certificate, the total debt of the Partnership is approximately $7.7 billion.</w:t>
      </w:r>
    </w:p>
    <w:p>
      <w:pPr>
        <w:spacing w:after="0" w:line="184"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 the Partnership, PAA Finance Corp. and Citigroup Global Markets Inc., SunTrust Robinson Humphrey, Inc., UBS Securities LLC and Wells Fargo Securities, LLC, as the representatives of the several Underwriters.</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1420"/>
          </w:cols>
          <w:pgMar w:left="240" w:top="26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affixed his signature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309245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i w:val="1"/>
          <w:iCs w:val="1"/>
          <w:color w:val="auto"/>
        </w:rPr>
        <w:t>Executive Vice President and</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Exhibit B-2</w:t>
      </w:r>
    </w:p>
    <w:p>
      <w:pPr>
        <w:sectPr>
          <w:pgSz w:w="11900" w:h="16838" w:orient="portrait"/>
          <w:cols w:equalWidth="0" w:num="1">
            <w:col w:w="9759"/>
          </w:cols>
          <w:pgMar w:left="700" w:top="270"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58623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62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We have acted as counsel to Plains All American Pipeline,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with respect to certain legal matters in connection with the registration by the Partnership and PAA Finance Corp., a Delaware corporation and wholly owned subsidiary of the Partnership (“</w:t>
      </w:r>
      <w:r>
        <w:rPr>
          <w:rFonts w:ascii="Times New Roman" w:cs="Times New Roman" w:eastAsia="Times New Roman" w:hAnsi="Times New Roman"/>
          <w:sz w:val="18"/>
          <w:szCs w:val="18"/>
          <w:b w:val="1"/>
          <w:bCs w:val="1"/>
          <w:color w:val="auto"/>
        </w:rPr>
        <w:t>PAA 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and sale by the Issuers of $700,000,000 aggregate principal amount of 4.70% Senior Notes due 2044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 be issued and sold pursuant to the Underwriting Agreement dated April 15, 2014, by and among the Issuers and the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color w:val="auto"/>
        </w:rPr>
        <w:t>The Notes are being offered and sold pursuant to a prospectus supplement dated August 15, 2014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Rule 424(b)(5) on April 16, 2014, to the prospectus dated September 27, 2012, (such prospectus, as amended and supplemented by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included in and forming part of the Registration Statement on Form S-3 (Registration No. 333-184137)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Capitalized terms used but not defined herein shall have the meanings given such terms in the Underwriting Agreement.</w:t>
      </w:r>
    </w:p>
    <w:p>
      <w:pPr>
        <w:spacing w:after="0" w:line="18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Notes are to be issued as securities pursuant to that certain Indenture, dated as of September 25, 2002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among the Issuers, and U.S. Bank National Association, as successor to Wachovia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and supplemented by the Twenty-Fifth Supplemental Indenture thereto, to be dated as of April 23, 2014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by and among the Issuers and the Trustee (the Base Indenture, as so amended and supplemented by the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upon (i) the Registration Statement, the Prospectus Supplement and the Prospectus; (ii) the Fourth Amended and Restated Agreement of Limited Partnership of the Partnership, dated as of May 17, 2012, as amended; (iii) the organizational certificates and the limited partnership or limited liability company agreements (as the case may be) of PAA GP LLC, a Delaware limited liability company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which is the general partner of the Partnership, of Plains AAP, L.P., a Delaware limited partnership (“</w:t>
      </w:r>
      <w:r>
        <w:rPr>
          <w:rFonts w:ascii="Times New Roman" w:cs="Times New Roman" w:eastAsia="Times New Roman" w:hAnsi="Times New Roman"/>
          <w:sz w:val="18"/>
          <w:szCs w:val="18"/>
          <w:b w:val="1"/>
          <w:bCs w:val="1"/>
          <w:color w:val="auto"/>
        </w:rPr>
        <w:t>Plains AAP</w:t>
      </w:r>
      <w:r>
        <w:rPr>
          <w:rFonts w:ascii="Times New Roman" w:cs="Times New Roman" w:eastAsia="Times New Roman" w:hAnsi="Times New Roman"/>
          <w:sz w:val="18"/>
          <w:szCs w:val="18"/>
          <w:color w:val="auto"/>
        </w:rPr>
        <w:t>”), which owns a 100% membership interest in the General Partner, and of Plains All American GP LLC, a Delaware limited liability company, which is the general partner of Plains AAP; (iv) the bylaws and certificate of incorporation of PAA Finance; (v) the Underwriting Agreement, a copy of which is being filed</w:t>
      </w:r>
    </w:p>
    <w:p>
      <w:pPr>
        <w:sectPr>
          <w:pgSz w:w="11900" w:h="16838" w:orient="portrait"/>
          <w:cols w:equalWidth="0" w:num="1">
            <w:col w:w="11420"/>
          </w:cols>
          <w:pgMar w:left="240" w:top="117" w:right="239" w:bottom="1440" w:gutter="0" w:footer="0" w:header="0"/>
        </w:sectPr>
      </w:pPr>
    </w:p>
    <w:bookmarkStart w:id="52" w:name="page53"/>
    <w:bookmarkEnd w:id="52"/>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Securities and Exchange Commission, together with this Exhibit 5.1, as an exhibit to the Partnership’s Current Report on Form 8-K prior to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the assumptions, limitations and qualifications set forth herein, we are of the opinion that when (a) 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and (v) each natural person signing any document reviewed by us had the legal capacity to do so and each person signing in a representative capacity any document reviewed by us had authority to sign in such capacity.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This opinion is limited in all respects to the laws of the State of New York. We do not express any opinions as to the laws of any other jurisdiction.</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of the Partnership dated on or about the date hereof, to the incorporation by</w:t>
      </w:r>
    </w:p>
    <w:p>
      <w:pPr>
        <w:sectPr>
          <w:pgSz w:w="11900" w:h="16838" w:orient="portrait"/>
          <w:cols w:equalWidth="0" w:num="1">
            <w:col w:w="11360"/>
          </w:cols>
          <w:pgMar w:left="240" w:top="270" w:right="29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Vinson &amp; Elkins L.L.P.</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4"/>
    </w:lvl>
  </w:abstractNum>
  <w:abstractNum w:abstractNumId="2">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8138641"/>
    <w:multiLevelType w:val="hybridMultilevel"/>
    <w:lvl w:ilvl="0">
      <w:lvlJc w:val="left"/>
      <w:lvlText w:val="(%1)"/>
      <w:numFmt w:val="lowerRoman"/>
      <w:start w:val="8"/>
    </w:lvl>
  </w:abstractNum>
  <w:abstractNum w:abstractNumId="4">
    <w:nsid w:val="1E7FF521"/>
    <w:multiLevelType w:val="hybridMultilevel"/>
    <w:lvl w:ilvl="0">
      <w:lvlJc w:val="left"/>
      <w:lvlText w:val="(%1)"/>
      <w:numFmt w:val="lowerLetter"/>
      <w:start w:val="2"/>
    </w:lvl>
  </w:abstractNum>
  <w:abstractNum w:abstractNumId="5">
    <w:nsid w:val="7C3DBD3D"/>
    <w:multiLevelType w:val="hybridMultilevel"/>
    <w:lvl w:ilvl="0">
      <w:lvlJc w:val="left"/>
      <w:lvlText w:val="(%1)"/>
      <w:numFmt w:val="lowerLetter"/>
      <w:start w:val="4"/>
    </w:lvl>
  </w:abstractNum>
  <w:abstractNum w:abstractNumId="6">
    <w:nsid w:val="737B8DDC"/>
    <w:multiLevelType w:val="hybridMultilevel"/>
    <w:lvl w:ilvl="0">
      <w:lvlJc w:val="left"/>
      <w:lvlText w:val="(%1)"/>
      <w:numFmt w:val="lowerLetter"/>
      <w:start w:val="9"/>
    </w:lvl>
  </w:abstractNum>
  <w:abstractNum w:abstractNumId="7">
    <w:nsid w:val="6CEAF087"/>
    <w:multiLevelType w:val="hybridMultilevel"/>
    <w:lvl w:ilvl="0">
      <w:lvlJc w:val="left"/>
      <w:lvlText w:val="%1"/>
      <w:numFmt w:val="lowerLetter"/>
      <w:start w:val="1"/>
    </w:lvl>
    <w:lvl w:ilvl="1">
      <w:lvlJc w:val="left"/>
      <w:lvlText w:val="(%2)"/>
      <w:numFmt w:val="lowerLetter"/>
      <w:start w:val="13"/>
    </w:lvl>
  </w:abstractNum>
  <w:abstractNum w:abstractNumId="8">
    <w:nsid w:val="22221A70"/>
    <w:multiLevelType w:val="hybridMultilevel"/>
    <w:lvl w:ilvl="0">
      <w:lvlJc w:val="left"/>
      <w:lvlText w:val="(%1)"/>
      <w:numFmt w:val="lowerLetter"/>
      <w:start w:val="1"/>
    </w:lvl>
    <w:lvl w:ilvl="1">
      <w:lvlJc w:val="left"/>
      <w:lvlText w:val="(%2)"/>
      <w:numFmt w:val="lowerLetter"/>
      <w:start w:val="14"/>
    </w:lvl>
  </w:abstractNum>
  <w:abstractNum w:abstractNumId="9">
    <w:nsid w:val="4516DDE9"/>
    <w:multiLevelType w:val="hybridMultilevel"/>
    <w:lvl w:ilvl="0">
      <w:lvlJc w:val="left"/>
      <w:lvlText w:val="(%1)"/>
      <w:numFmt w:val="lowerLetter"/>
      <w:start w:val="61"/>
    </w:lvl>
    <w:lvl w:ilvl="1">
      <w:lvlJc w:val="left"/>
      <w:lvlText w:val="(%2)"/>
      <w:numFmt w:val="lowerLetter"/>
      <w:start w:val="17"/>
    </w:lvl>
  </w:abstractNum>
  <w:abstractNum w:abstractNumId="10">
    <w:nsid w:val="3006C83E"/>
    <w:multiLevelType w:val="hybridMultilevel"/>
    <w:lvl w:ilvl="0">
      <w:lvlJc w:val="left"/>
      <w:lvlText w:val="(%1)"/>
      <w:numFmt w:val="upperLetter"/>
      <w:start w:val="2"/>
    </w:lvl>
    <w:lvl w:ilvl="1">
      <w:lvlJc w:val="left"/>
      <w:lvlText w:val="(%2)"/>
      <w:numFmt w:val="lowerLetter"/>
      <w:start w:val="22"/>
    </w:lvl>
  </w:abstractNum>
  <w:abstractNum w:abstractNumId="11">
    <w:nsid w:val="614FD4A1"/>
    <w:multiLevelType w:val="hybridMultilevel"/>
    <w:lvl w:ilvl="0">
      <w:lvlJc w:val="left"/>
      <w:lvlText w:val="(%1)"/>
      <w:numFmt w:val="lowerLetter"/>
      <w:start w:val="24"/>
    </w:lvl>
  </w:abstractNum>
  <w:abstractNum w:abstractNumId="12">
    <w:nsid w:val="419AC241"/>
    <w:multiLevelType w:val="hybridMultilevel"/>
    <w:lvl w:ilvl="0">
      <w:lvlJc w:val="left"/>
      <w:lvlText w:val="(%1)"/>
      <w:numFmt w:val="lowerLetter"/>
      <w:start w:val="27"/>
    </w:lvl>
  </w:abstractNum>
  <w:abstractNum w:abstractNumId="13">
    <w:nsid w:val="5577F8E1"/>
    <w:multiLevelType w:val="hybridMultilevel"/>
    <w:lvl w:ilvl="0">
      <w:lvlJc w:val="left"/>
      <w:lvlText w:val="(%1)"/>
      <w:numFmt w:val="lowerLetter"/>
      <w:start w:val="30"/>
    </w:lvl>
  </w:abstractNum>
  <w:abstractNum w:abstractNumId="14">
    <w:nsid w:val="440BADFC"/>
    <w:multiLevelType w:val="hybridMultilevel"/>
    <w:lvl w:ilvl="0">
      <w:lvlJc w:val="left"/>
      <w:lvlText w:val="%1"/>
      <w:numFmt w:val="lowerLetter"/>
      <w:start w:val="1"/>
    </w:lvl>
    <w:lvl w:ilvl="1">
      <w:lvlJc w:val="left"/>
      <w:lvlText w:val="(%2)"/>
      <w:numFmt w:val="lowerLetter"/>
      <w:start w:val="35"/>
    </w:lvl>
  </w:abstractNum>
  <w:abstractNum w:abstractNumId="15">
    <w:nsid w:val="5072367"/>
    <w:multiLevelType w:val="hybridMultilevel"/>
    <w:lvl w:ilvl="0">
      <w:lvlJc w:val="left"/>
      <w:lvlText w:val="(%1)"/>
      <w:numFmt w:val="lowerLetter"/>
      <w:start w:val="9"/>
    </w:lvl>
    <w:lvl w:ilvl="1">
      <w:lvlJc w:val="left"/>
      <w:lvlText w:val="(%2)"/>
      <w:numFmt w:val="lowerLetter"/>
      <w:start w:val="38"/>
    </w:lvl>
  </w:abstractNum>
  <w:abstractNum w:abstractNumId="16">
    <w:nsid w:val="3804823E"/>
    <w:multiLevelType w:val="hybridMultilevel"/>
    <w:lvl w:ilvl="0">
      <w:lvlJc w:val="left"/>
      <w:lvlText w:val="(%1)"/>
      <w:numFmt w:val="lowerLetter"/>
      <w:start w:val="41"/>
    </w:lvl>
  </w:abstractNum>
  <w:abstractNum w:abstractNumId="17">
    <w:nsid w:val="77465F01"/>
    <w:multiLevelType w:val="hybridMultilevel"/>
    <w:lvl w:ilvl="0">
      <w:lvlJc w:val="left"/>
      <w:lvlText w:val="%1."/>
      <w:numFmt w:val="decimal"/>
      <w:start w:val="2"/>
    </w:lvl>
  </w:abstractNum>
  <w:abstractNum w:abstractNumId="18">
    <w:nsid w:val="7724C67E"/>
    <w:multiLevelType w:val="hybridMultilevel"/>
    <w:lvl w:ilvl="0">
      <w:lvlJc w:val="left"/>
      <w:lvlText w:val="%1."/>
      <w:numFmt w:val="decimal"/>
      <w:start w:val="3"/>
    </w:lvl>
    <w:lvl w:ilvl="1">
      <w:lvlJc w:val="left"/>
      <w:lvlText w:val="(%2)"/>
      <w:numFmt w:val="lowerLetter"/>
      <w:start w:val="1"/>
    </w:lvl>
  </w:abstractNum>
  <w:abstractNum w:abstractNumId="19">
    <w:nsid w:val="5C482A97"/>
    <w:multiLevelType w:val="hybridMultilevel"/>
    <w:lvl w:ilvl="0">
      <w:lvlJc w:val="left"/>
      <w:lvlText w:val="(%1)"/>
      <w:numFmt w:val="lowerLetter"/>
      <w:start w:val="3"/>
    </w:lvl>
  </w:abstractNum>
  <w:abstractNum w:abstractNumId="20">
    <w:nsid w:val="2463B9EA"/>
    <w:multiLevelType w:val="hybridMultilevel"/>
    <w:lvl w:ilvl="0">
      <w:lvlJc w:val="left"/>
      <w:lvlText w:val="(%1)"/>
      <w:numFmt w:val="lowerLetter"/>
      <w:start w:val="7"/>
    </w:lvl>
  </w:abstractNum>
  <w:abstractNum w:abstractNumId="21">
    <w:nsid w:val="5E884ADC"/>
    <w:multiLevelType w:val="hybridMultilevel"/>
    <w:lvl w:ilvl="0">
      <w:lvlJc w:val="left"/>
      <w:lvlText w:val="(%1)"/>
      <w:numFmt w:val="lowerLetter"/>
      <w:start w:val="9"/>
    </w:lvl>
  </w:abstractNum>
  <w:abstractNum w:abstractNumId="22">
    <w:nsid w:val="51EAD36B"/>
    <w:multiLevelType w:val="hybridMultilevel"/>
    <w:lvl w:ilvl="0">
      <w:lvlJc w:val="left"/>
      <w:lvlText w:val="%1"/>
      <w:numFmt w:val="decimal"/>
      <w:start w:val="1"/>
    </w:lvl>
    <w:lvl w:ilvl="1">
      <w:lvlJc w:val="left"/>
      <w:lvlText w:val="(%2)"/>
      <w:numFmt w:val="lowerLetter"/>
      <w:start w:val="16"/>
    </w:lvl>
  </w:abstractNum>
  <w:abstractNum w:abstractNumId="23">
    <w:nsid w:val="2D517796"/>
    <w:multiLevelType w:val="hybridMultilevel"/>
    <w:lvl w:ilvl="0">
      <w:lvlJc w:val="left"/>
      <w:lvlText w:val="%1."/>
      <w:numFmt w:val="decimal"/>
      <w:start w:val="6"/>
    </w:lvl>
    <w:lvl w:ilvl="1">
      <w:lvlJc w:val="left"/>
      <w:lvlText w:val="(%2)"/>
      <w:numFmt w:val="lowerLetter"/>
      <w:start w:val="1"/>
    </w:lvl>
  </w:abstractNum>
  <w:abstractNum w:abstractNumId="24">
    <w:nsid w:val="580BD78F"/>
    <w:multiLevelType w:val="hybridMultilevel"/>
    <w:lvl w:ilvl="0">
      <w:lvlJc w:val="left"/>
      <w:lvlText w:val="%1"/>
      <w:numFmt w:val="decimal"/>
      <w:start w:val="433"/>
    </w:lvl>
    <w:lvl w:ilvl="1">
      <w:lvlJc w:val="left"/>
      <w:lvlText w:val="%2"/>
      <w:numFmt w:val="lowerLetter"/>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lowerLetter"/>
      <w:start w:val="1"/>
    </w:lvl>
    <w:lvl w:ilvl="1">
      <w:lvlJc w:val="left"/>
      <w:lvlText w:val="(%2)"/>
      <w:numFmt w:val="lowerLetter"/>
      <w:start w:val="3"/>
    </w:lvl>
  </w:abstractNum>
  <w:abstractNum w:abstractNumId="27">
    <w:nsid w:val="70A64E2A"/>
    <w:multiLevelType w:val="hybridMultilevel"/>
    <w:lvl w:ilvl="0">
      <w:lvlJc w:val="left"/>
      <w:lvlText w:val="(%1)"/>
      <w:numFmt w:val="lowerLetter"/>
      <w:start w:val="2"/>
    </w:lvl>
    <w:lvl w:ilvl="1">
      <w:lvlJc w:val="left"/>
      <w:lvlText w:val="(%2)"/>
      <w:numFmt w:val="lowerLetter"/>
      <w:start w:val="4"/>
    </w:lvl>
  </w:abstractNum>
  <w:abstractNum w:abstractNumId="28">
    <w:nsid w:val="6A2342EC"/>
    <w:multiLevelType w:val="hybridMultilevel"/>
    <w:lvl w:ilvl="0">
      <w:lvlJc w:val="left"/>
      <w:lvlText w:val="%1"/>
      <w:numFmt w:val="lowerLetter"/>
      <w:start w:val="1"/>
    </w:lvl>
    <w:lvl w:ilvl="1">
      <w:lvlJc w:val="left"/>
      <w:lvlText w:val="(%2)"/>
      <w:numFmt w:val="lowerLetter"/>
      <w:start w:val="5"/>
    </w:lvl>
  </w:abstractNum>
  <w:abstractNum w:abstractNumId="29">
    <w:nsid w:val="2A487CB0"/>
    <w:multiLevelType w:val="hybridMultilevel"/>
    <w:lvl w:ilvl="0">
      <w:lvlJc w:val="left"/>
      <w:lvlText w:val="(%1)"/>
      <w:numFmt w:val="lowerLetter"/>
      <w:start w:val="35"/>
    </w:lvl>
    <w:lvl w:ilvl="1">
      <w:lvlJc w:val="left"/>
      <w:lvlText w:val="(%2)"/>
      <w:numFmt w:val="lowerLetter"/>
      <w:start w:val="7"/>
    </w:lvl>
  </w:abstractNum>
  <w:abstractNum w:abstractNumId="30">
    <w:nsid w:val="1D4ED4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1">
    <w:nsid w:val="725A06FB"/>
    <w:multiLevelType w:val="hybridMultilevel"/>
    <w:lvl w:ilvl="0">
      <w:lvlJc w:val="left"/>
      <w:lvlText w:val="%1"/>
      <w:numFmt w:val="lowerLetter"/>
      <w:start w:val="1"/>
    </w:lvl>
    <w:lvl w:ilvl="1">
      <w:lvlJc w:val="left"/>
      <w:lvlText w:val="(%2)"/>
      <w:numFmt w:val="lowerRoman"/>
      <w:start w:val="2"/>
    </w:lvl>
  </w:abstractNum>
  <w:abstractNum w:abstractNumId="32">
    <w:nsid w:val="2CD89A32"/>
    <w:multiLevelType w:val="hybridMultilevel"/>
    <w:lvl w:ilvl="0">
      <w:lvlJc w:val="left"/>
      <w:lvlText w:val="(%1)"/>
      <w:numFmt w:val="lowerLetter"/>
      <w:start w:val="1"/>
    </w:lvl>
    <w:lvl w:ilvl="1">
      <w:lvlJc w:val="left"/>
      <w:lvlText w:val="(%2)"/>
      <w:numFmt w:val="lowerRoman"/>
      <w:start w:val="5"/>
    </w:lvl>
  </w:abstractNum>
  <w:abstractNum w:abstractNumId="33">
    <w:nsid w:val="57E4CCAF"/>
    <w:multiLevelType w:val="hybridMultilevel"/>
    <w:lvl w:ilvl="0">
      <w:lvlJc w:val="left"/>
      <w:lvlText w:val="%1"/>
      <w:numFmt w:val="upperLetter"/>
      <w:start w:val="1"/>
    </w:lvl>
    <w:lvl w:ilvl="1">
      <w:lvlJc w:val="left"/>
      <w:lvlText w:val="(%2)"/>
      <w:numFmt w:val="lowerRoman"/>
      <w:start w:val="6"/>
    </w:lvl>
  </w:abstractNum>
  <w:abstractNum w:abstractNumId="34">
    <w:nsid w:val="7A6D8D3C"/>
    <w:multiLevelType w:val="hybridMultilevel"/>
    <w:lvl w:ilvl="0">
      <w:lvlJc w:val="left"/>
      <w:lvlText w:val="(%1)"/>
      <w:numFmt w:val="upperLetter"/>
      <w:start w:val="1"/>
    </w:lvl>
    <w:lvl w:ilvl="1">
      <w:lvlJc w:val="left"/>
      <w:lvlText w:val="(%2)"/>
      <w:numFmt w:val="lowerRoman"/>
      <w:start w:val="11"/>
    </w:lvl>
  </w:abstractNum>
  <w:abstractNum w:abstractNumId="35">
    <w:nsid w:val="4B588F54"/>
    <w:multiLevelType w:val="hybridMultilevel"/>
    <w:lvl w:ilvl="0">
      <w:lvlJc w:val="left"/>
      <w:lvlText w:val="(%1)"/>
      <w:numFmt w:val="lowerRoman"/>
      <w:start w:val="12"/>
    </w:lvl>
  </w:abstractNum>
  <w:abstractNum w:abstractNumId="36">
    <w:nsid w:val="542289EC"/>
    <w:multiLevelType w:val="hybridMultilevel"/>
    <w:lvl w:ilvl="0">
      <w:lvlJc w:val="left"/>
      <w:lvlText w:val="%1"/>
      <w:numFmt w:val="upperLetter"/>
      <w:start w:val="1"/>
    </w:lvl>
    <w:lvl w:ilvl="1">
      <w:lvlJc w:val="left"/>
      <w:lvlText w:val="(%2)"/>
      <w:numFmt w:val="lowerRoman"/>
      <w:start w:val="14"/>
    </w:lvl>
  </w:abstractNum>
  <w:abstractNum w:abstractNumId="37">
    <w:nsid w:val="6DE91B18"/>
    <w:multiLevelType w:val="hybridMultilevel"/>
    <w:lvl w:ilvl="0">
      <w:lvlJc w:val="left"/>
      <w:lvlText w:val="(%1)"/>
      <w:numFmt w:val="upperLetter"/>
      <w:start w:val="1"/>
    </w:lvl>
    <w:lvl w:ilvl="1">
      <w:lvlJc w:val="left"/>
      <w:lvlText w:val="(%2)"/>
      <w:numFmt w:val="lowerRoman"/>
      <w:start w:val="15"/>
    </w:lvl>
  </w:abstractNum>
  <w:abstractNum w:abstractNumId="38">
    <w:nsid w:val="38437FDB"/>
    <w:multiLevelType w:val="hybridMultilevel"/>
    <w:lvl w:ilvl="0">
      <w:lvlJc w:val="left"/>
      <w:lvlText w:val="(%1)"/>
      <w:numFmt w:val="lowerRoman"/>
      <w:start w:val="18"/>
    </w:lvl>
  </w:abstractNum>
  <w:abstractNum w:abstractNumId="39">
    <w:nsid w:val="7644A45C"/>
    <w:multiLevelType w:val="hybridMultilevel"/>
    <w:lvl w:ilvl="0">
      <w:lvlJc w:val="left"/>
      <w:lvlText w:val="(%1)"/>
      <w:numFmt w:val="lowerRoman"/>
      <w:start w:val="15"/>
    </w:lvl>
    <w:lvl w:ilvl="1">
      <w:lvlJc w:val="left"/>
      <w:lvlText w:val="(%2)"/>
      <w:numFmt w:val="upperLetter"/>
      <w:start w:val="1"/>
    </w:lvl>
  </w:abstractNum>
  <w:abstractNum w:abstractNumId="40">
    <w:nsid w:val="32FFF902"/>
    <w:multiLevelType w:val="hybridMultilevel"/>
    <w:lvl w:ilvl="0">
      <w:lvlJc w:val="left"/>
      <w:lvlText w:val="(%1)"/>
      <w:numFmt w:val="lowerLetter"/>
      <w:start w:val="4"/>
    </w:lvl>
  </w:abstractNum>
  <w:abstractNum w:abstractNumId="41">
    <w:nsid w:val="684A481A"/>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42">
    <w:nsid w:val="579478FE"/>
    <w:multiLevelType w:val="hybridMultilevel"/>
    <w:lvl w:ilvl="0">
      <w:lvlJc w:val="left"/>
      <w:lvlText w:val="(%1)"/>
      <w:numFmt w:val="lowerRoman"/>
      <w:start w:val="2"/>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lowerLetter"/>
      <w:start w:val="6"/>
    </w:lvl>
    <w:lvl w:ilvl="1">
      <w:lvlJc w:val="left"/>
      <w:lvlText w:val="(%2)"/>
      <w:numFmt w:val="lowerRoman"/>
      <w:start w:val="1"/>
    </w:lvl>
  </w:abstractNum>
  <w:abstractNum w:abstractNumId="45">
    <w:nsid w:val="1BA026FA"/>
    <w:multiLevelType w:val="hybridMultilevel"/>
    <w:lvl w:ilvl="0">
      <w:lvlJc w:val="left"/>
      <w:lvlText w:val="(%1)"/>
      <w:numFmt w:val="lowerRoman"/>
      <w:start w:val="4"/>
    </w:lvl>
  </w:abstractNum>
  <w:abstractNum w:abstractNumId="46">
    <w:nsid w:val="79A1DEAA"/>
    <w:multiLevelType w:val="hybridMultilevel"/>
    <w:lvl w:ilvl="0">
      <w:lvlJc w:val="left"/>
      <w:lvlText w:val="(%1)"/>
      <w:numFmt w:val="upperLetter"/>
      <w:start w:val="2"/>
    </w:lvl>
    <w:lvl w:ilvl="1">
      <w:lvlJc w:val="left"/>
      <w:lvlText w:val="(%2)"/>
      <w:numFmt w:val="lowerLetter"/>
      <w:start w:val="7"/>
    </w:lvl>
  </w:abstractNum>
  <w:abstractNum w:abstractNumId="47">
    <w:nsid w:val="75C6C33A"/>
    <w:multiLevelType w:val="hybridMultilevel"/>
    <w:lvl w:ilvl="0">
      <w:lvlJc w:val="left"/>
      <w:lvlText w:val="(%1)"/>
      <w:numFmt w:val="lowerLetter"/>
      <w:start w:val="8"/>
    </w:lvl>
    <w:lvl w:ilvl="1">
      <w:lvlJc w:val="left"/>
      <w:lvlText w:val="(%2)"/>
      <w:numFmt w:val="upperLetter"/>
      <w:start w:val="1"/>
    </w:lvl>
  </w:abstractNum>
  <w:abstractNum w:abstractNumId="48">
    <w:nsid w:val="12E685FB"/>
    <w:multiLevelType w:val="hybridMultilevel"/>
    <w:lvl w:ilvl="0">
      <w:lvlJc w:val="left"/>
      <w:lvlText w:val="(%1)"/>
      <w:numFmt w:val="lowerLetter"/>
      <w:start w:val="11"/>
    </w:lvl>
  </w:abstractNum>
  <w:abstractNum w:abstractNumId="49">
    <w:nsid w:val="70C6A529"/>
    <w:multiLevelType w:val="hybridMultilevel"/>
    <w:lvl w:ilvl="0">
      <w:lvlJc w:val="left"/>
      <w:lvlText w:val="%1"/>
      <w:numFmt w:val="lowerRoman"/>
      <w:start w:val="1"/>
    </w:lvl>
    <w:lvl w:ilvl="1">
      <w:lvlJc w:val="left"/>
      <w:lvlText w:val="%2."/>
      <w:numFmt w:val="decimal"/>
      <w:start w:val="8"/>
    </w:lvl>
  </w:abstractNum>
  <w:abstractNum w:abstractNumId="50">
    <w:nsid w:val="520EEDD1"/>
    <w:multiLevelType w:val="hybridMultilevel"/>
    <w:lvl w:ilvl="0">
      <w:lvlJc w:val="left"/>
      <w:lvlText w:val="(%1)"/>
      <w:numFmt w:val="lowerRoman"/>
      <w:start w:val="4"/>
    </w:lvl>
    <w:lvl w:ilvl="1">
      <w:lvlJc w:val="left"/>
      <w:lvlText w:val="%2"/>
      <w:numFmt w:val="decimal"/>
      <w:start w:val="1"/>
    </w:lvl>
  </w:abstractNum>
  <w:abstractNum w:abstractNumId="51">
    <w:nsid w:val="374A3FE6"/>
    <w:multiLevelType w:val="hybridMultilevel"/>
    <w:lvl w:ilvl="0">
      <w:lvlJc w:val="left"/>
      <w:lvlText w:val="%1."/>
      <w:numFmt w:val="decimal"/>
      <w:start w:val="9"/>
    </w:lvl>
  </w:abstractNum>
  <w:abstractNum w:abstractNumId="52">
    <w:nsid w:val="4F4EF005"/>
    <w:multiLevelType w:val="hybridMultilevel"/>
    <w:lvl w:ilvl="0">
      <w:lvlJc w:val="left"/>
      <w:lvlText w:val="%1."/>
      <w:numFmt w:val="decimal"/>
      <w:start w:val="10"/>
    </w:lvl>
  </w:abstractNum>
  <w:abstractNum w:abstractNumId="53">
    <w:nsid w:val="23F9C13C"/>
    <w:multiLevelType w:val="hybridMultilevel"/>
    <w:lvl w:ilvl="0">
      <w:lvlJc w:val="left"/>
      <w:lvlText w:val="%1."/>
      <w:numFmt w:val="decimal"/>
      <w:start w:val="12"/>
    </w:lvl>
  </w:abstractNum>
  <w:abstractNum w:abstractNumId="54">
    <w:nsid w:val="649BB77C"/>
    <w:multiLevelType w:val="hybridMultilevel"/>
    <w:lvl w:ilvl="0">
      <w:lvlJc w:val="left"/>
      <w:lvlText w:val="%1."/>
      <w:numFmt w:val="decimal"/>
      <w:start w:val="17"/>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2020-01-27T00:40:34Z</dcterms:created>
  <dcterms:modified xsi:type="dcterms:W3CDTF">2020-01-27T00:40:34Z</dcterms:modified>
</cp:coreProperties>
</file>