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-231140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420" w:type="dxa"/>
            <w:vAlign w:val="bottom"/>
          </w:tcPr>
          <w:p>
            <w:pPr>
              <w:jc w:val="center"/>
              <w:ind w:right="33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5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20" w:type="dxa"/>
            <w:vAlign w:val="bottom"/>
            <w:vMerge w:val="restart"/>
          </w:tcPr>
          <w:p>
            <w:pPr>
              <w:jc w:val="center"/>
              <w:ind w:right="3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5400040</wp:posOffset>
            </wp:positionH>
            <wp:positionV relativeFrom="paragraph">
              <wp:posOffset>-620395</wp:posOffset>
            </wp:positionV>
            <wp:extent cx="57785" cy="633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-1788795</wp:posOffset>
            </wp:positionH>
            <wp:positionV relativeFrom="paragraph">
              <wp:posOffset>14605</wp:posOffset>
            </wp:positionV>
            <wp:extent cx="7326630" cy="4991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6630" cy="499110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240" w:space="560"/>
            <w:col w:w="8720"/>
          </w:cols>
          <w:pgMar w:left="240" w:top="220" w:right="13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PETERSEN GARY R</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180" w:type="dxa"/>
            <w:vAlign w:val="bottom"/>
          </w:tcPr>
          <w:p>
            <w:pPr>
              <w:ind w:left="220"/>
              <w:spacing w:after="0"/>
              <w:rPr>
                <w:sz w:val="20"/>
                <w:szCs w:val="20"/>
                <w:color w:val="auto"/>
              </w:rPr>
            </w:pPr>
            <w:r>
              <w:rPr>
                <w:rFonts w:ascii="Arial" w:cs="Arial" w:eastAsia="Arial" w:hAnsi="Arial"/>
                <w:sz w:val="13"/>
                <w:szCs w:val="13"/>
                <w:color w:val="auto"/>
              </w:rPr>
              <w:t>(First)</w:t>
            </w:r>
          </w:p>
        </w:tc>
        <w:tc>
          <w:tcPr>
            <w:tcW w:w="156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260" w:type="dxa"/>
            <w:vAlign w:val="bottom"/>
            <w:gridSpan w:val="2"/>
          </w:tcPr>
          <w:p>
            <w:pPr>
              <w:ind w:left="20"/>
              <w:spacing w:after="0"/>
              <w:rPr>
                <w:sz w:val="20"/>
                <w:szCs w:val="20"/>
                <w:color w:val="auto"/>
              </w:rPr>
            </w:pPr>
            <w:r>
              <w:rPr>
                <w:rFonts w:ascii="Arial" w:cs="Arial" w:eastAsia="Arial" w:hAnsi="Arial"/>
                <w:sz w:val="17"/>
                <w:szCs w:val="17"/>
                <w:color w:val="0000FF"/>
              </w:rPr>
              <w:t>1100 LOUISIANA STREET</w:t>
            </w:r>
          </w:p>
        </w:tc>
        <w:tc>
          <w:tcPr>
            <w:tcW w:w="1560" w:type="dxa"/>
            <w:vAlign w:val="bottom"/>
          </w:tcPr>
          <w:p>
            <w:pPr>
              <w:spacing w:after="0"/>
              <w:rPr>
                <w:sz w:val="23"/>
                <w:szCs w:val="23"/>
                <w:color w:val="auto"/>
              </w:rPr>
            </w:pPr>
          </w:p>
        </w:tc>
      </w:tr>
      <w:tr>
        <w:trPr>
          <w:trHeight w:val="256"/>
        </w:trPr>
        <w:tc>
          <w:tcPr>
            <w:tcW w:w="20" w:type="dxa"/>
            <w:vAlign w:val="bottom"/>
          </w:tcPr>
          <w:p>
            <w:pPr>
              <w:spacing w:after="0"/>
              <w:rPr>
                <w:sz w:val="22"/>
                <w:szCs w:val="22"/>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SUITE 4900</w:t>
            </w:r>
          </w:p>
        </w:tc>
        <w:tc>
          <w:tcPr>
            <w:tcW w:w="118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r>
      <w:tr>
        <w:trPr>
          <w:trHeight w:val="2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180" w:type="dxa"/>
            <w:vAlign w:val="bottom"/>
          </w:tcPr>
          <w:p>
            <w:pPr>
              <w:ind w:left="220"/>
              <w:spacing w:after="0"/>
              <w:rPr>
                <w:sz w:val="20"/>
                <w:szCs w:val="20"/>
                <w:color w:val="auto"/>
              </w:rPr>
            </w:pPr>
            <w:r>
              <w:rPr>
                <w:rFonts w:ascii="Arial" w:cs="Arial" w:eastAsia="Arial" w:hAnsi="Arial"/>
                <w:sz w:val="17"/>
                <w:szCs w:val="17"/>
                <w:color w:val="0000FF"/>
              </w:rPr>
              <w:t>TX</w:t>
            </w:r>
          </w:p>
        </w:tc>
        <w:tc>
          <w:tcPr>
            <w:tcW w:w="1560" w:type="dxa"/>
            <w:vAlign w:val="bottom"/>
          </w:tcPr>
          <w:p>
            <w:pPr>
              <w:ind w:left="320"/>
              <w:spacing w:after="0"/>
              <w:rPr>
                <w:sz w:val="20"/>
                <w:szCs w:val="20"/>
                <w:color w:val="auto"/>
              </w:rPr>
            </w:pPr>
            <w:r>
              <w:rPr>
                <w:rFonts w:ascii="Arial" w:cs="Arial" w:eastAsia="Arial" w:hAnsi="Arial"/>
                <w:sz w:val="17"/>
                <w:szCs w:val="17"/>
                <w:color w:val="0000FF"/>
              </w:rPr>
              <w:t>77002</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220"/>
              <w:spacing w:after="0"/>
              <w:rPr>
                <w:sz w:val="20"/>
                <w:szCs w:val="20"/>
                <w:color w:val="auto"/>
              </w:rPr>
            </w:pPr>
            <w:r>
              <w:rPr>
                <w:rFonts w:ascii="Arial" w:cs="Arial" w:eastAsia="Arial" w:hAnsi="Arial"/>
                <w:sz w:val="13"/>
                <w:szCs w:val="13"/>
                <w:color w:val="auto"/>
              </w:rPr>
              <w:t>(State)</w:t>
            </w:r>
          </w:p>
        </w:tc>
        <w:tc>
          <w:tcPr>
            <w:tcW w:w="156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980" w:type="dxa"/>
            <w:vAlign w:val="bottom"/>
            <w:gridSpan w:val="3"/>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PLAINS ALL AMERICAN PIPELINE LP </w:t>
              </w:r>
            </w:hyperlink>
            <w:r>
              <w:rPr>
                <w:rFonts w:ascii="Arial" w:cs="Arial" w:eastAsia="Arial" w:hAnsi="Arial"/>
                <w:sz w:val="15"/>
                <w:szCs w:val="15"/>
                <w:color w:val="000000"/>
              </w:rPr>
              <w:t>[</w:t>
            </w:r>
          </w:p>
        </w:tc>
        <w:tc>
          <w:tcPr>
            <w:tcW w:w="19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980" w:type="dxa"/>
            <w:vAlign w:val="bottom"/>
            <w:gridSpan w:val="3"/>
          </w:tcPr>
          <w:p>
            <w:pPr>
              <w:spacing w:after="0"/>
              <w:rPr>
                <w:sz w:val="3"/>
                <w:szCs w:val="3"/>
                <w:color w:val="auto"/>
              </w:rPr>
            </w:pPr>
          </w:p>
        </w:tc>
        <w:tc>
          <w:tcPr>
            <w:tcW w:w="520" w:type="dxa"/>
            <w:vAlign w:val="bottom"/>
            <w:vMerge w:val="restart"/>
          </w:tcPr>
          <w:p>
            <w:pPr>
              <w:ind w:left="280"/>
              <w:spacing w:after="0" w:line="52" w:lineRule="exact"/>
              <w:rPr>
                <w:sz w:val="20"/>
                <w:szCs w:val="20"/>
                <w:color w:val="auto"/>
              </w:rPr>
            </w:pPr>
            <w:r>
              <w:rPr>
                <w:rFonts w:ascii="Arial" w:cs="Arial" w:eastAsia="Arial" w:hAnsi="Arial"/>
                <w:sz w:val="5"/>
                <w:szCs w:val="5"/>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60" w:type="dxa"/>
            <w:vAlign w:val="bottom"/>
          </w:tcPr>
          <w:p>
            <w:pPr>
              <w:spacing w:after="0" w:line="20" w:lineRule="exact"/>
              <w:rPr>
                <w:sz w:val="1"/>
                <w:szCs w:val="1"/>
                <w:color w:val="auto"/>
              </w:rPr>
            </w:pPr>
          </w:p>
        </w:tc>
        <w:tc>
          <w:tcPr>
            <w:tcW w:w="354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PAA </w:t>
              </w:r>
              <w:r>
                <w:rPr>
                  <w:rFonts w:ascii="Arial" w:cs="Arial" w:eastAsia="Arial" w:hAnsi="Arial"/>
                  <w:sz w:val="1"/>
                  <w:szCs w:val="1"/>
                  <w:color w:val="000000"/>
                </w:rPr>
                <w:t>]</w:t>
              </w:r>
            </w:hyperlink>
          </w:p>
        </w:tc>
        <w:tc>
          <w:tcPr>
            <w:tcW w:w="380" w:type="dxa"/>
            <w:vAlign w:val="bottom"/>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40" w:type="dxa"/>
            <w:vAlign w:val="bottom"/>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80" w:type="dxa"/>
            <w:vAlign w:val="bottom"/>
          </w:tcPr>
          <w:p>
            <w:pPr>
              <w:ind w:left="100"/>
              <w:spacing w:after="0"/>
              <w:rPr>
                <w:sz w:val="20"/>
                <w:szCs w:val="20"/>
                <w:color w:val="auto"/>
              </w:rPr>
            </w:pPr>
            <w:r>
              <w:rPr>
                <w:rFonts w:ascii="Arial" w:cs="Arial" w:eastAsia="Arial" w:hAnsi="Arial"/>
                <w:sz w:val="13"/>
                <w:szCs w:val="13"/>
                <w:color w:val="auto"/>
              </w:rPr>
              <w:t>below)</w:t>
            </w:r>
          </w:p>
        </w:tc>
        <w:tc>
          <w:tcPr>
            <w:tcW w:w="1540" w:type="dxa"/>
            <w:vAlign w:val="bottom"/>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60" w:type="dxa"/>
            <w:vAlign w:val="bottom"/>
            <w:tcBorders>
              <w:bottom w:val="single" w:sz="8" w:color="2C2C2C"/>
            </w:tcBorders>
          </w:tcPr>
          <w:p>
            <w:pPr>
              <w:spacing w:after="0"/>
              <w:rPr>
                <w:sz w:val="6"/>
                <w:szCs w:val="6"/>
                <w:color w:val="auto"/>
              </w:rPr>
            </w:pPr>
          </w:p>
        </w:tc>
        <w:tc>
          <w:tcPr>
            <w:tcW w:w="35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600" w:type="dxa"/>
            <w:vAlign w:val="bottom"/>
            <w:gridSpan w:val="2"/>
          </w:tcPr>
          <w:p>
            <w:pPr>
              <w:ind w:left="60"/>
              <w:spacing w:after="0"/>
              <w:rPr>
                <w:sz w:val="20"/>
                <w:szCs w:val="20"/>
                <w:color w:val="auto"/>
              </w:rPr>
            </w:pPr>
            <w:r>
              <w:rPr>
                <w:rFonts w:ascii="Arial" w:cs="Arial" w:eastAsia="Arial" w:hAnsi="Arial"/>
                <w:sz w:val="17"/>
                <w:szCs w:val="17"/>
                <w:color w:val="0000FF"/>
              </w:rPr>
              <w:t>01/12/2016</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 w:type="dxa"/>
            <w:vAlign w:val="bottom"/>
            <w:tcBorders>
              <w:bottom w:val="single" w:sz="8" w:color="2C2C2C"/>
            </w:tcBorders>
          </w:tcPr>
          <w:p>
            <w:pPr>
              <w:spacing w:after="0"/>
              <w:rPr>
                <w:sz w:val="20"/>
                <w:szCs w:val="20"/>
                <w:color w:val="auto"/>
              </w:rPr>
            </w:pPr>
          </w:p>
        </w:tc>
        <w:tc>
          <w:tcPr>
            <w:tcW w:w="354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344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40" w:type="dxa"/>
            <w:vAlign w:val="bottom"/>
            <w:gridSpan w:val="3"/>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920" w:type="dxa"/>
            <w:vAlign w:val="bottom"/>
            <w:gridSpan w:val="2"/>
          </w:tcPr>
          <w:p>
            <w:pPr>
              <w:ind w:left="10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bl>
    <w:p>
      <w:pPr>
        <w:spacing w:after="0" w:line="455" w:lineRule="exact"/>
        <w:rPr>
          <w:sz w:val="20"/>
          <w:szCs w:val="20"/>
          <w:color w:val="auto"/>
        </w:rPr>
      </w:pPr>
    </w:p>
    <w:p>
      <w:pPr>
        <w:sectPr>
          <w:pgSz w:w="11900" w:h="16838" w:orient="portrait"/>
          <w:cols w:equalWidth="0" w:num="2">
            <w:col w:w="3920" w:space="80"/>
            <w:col w:w="7520"/>
          </w:cols>
          <w:pgMar w:left="240" w:top="220"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tcPr>
          <w:p>
            <w:pPr>
              <w:ind w:left="9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920" w:type="dxa"/>
            <w:vAlign w:val="bottom"/>
          </w:tcPr>
          <w:p>
            <w:pPr>
              <w:ind w:left="92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120"/>
              <w:spacing w:after="0" w:line="125"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20" w:type="dxa"/>
            <w:vAlign w:val="bottom"/>
          </w:tcPr>
          <w:p>
            <w:pPr>
              <w:ind w:left="92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 Owned</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 or Indirect</w:t>
            </w:r>
          </w:p>
        </w:tc>
        <w:tc>
          <w:tcPr>
            <w:tcW w:w="8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Following Reported</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8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6"/>
                <w:szCs w:val="6"/>
                <w:color w:val="auto"/>
              </w:rPr>
            </w:pPr>
          </w:p>
        </w:tc>
        <w:tc>
          <w:tcPr>
            <w:tcW w:w="860" w:type="dxa"/>
            <w:vAlign w:val="bottom"/>
            <w:vMerge w:val="restart"/>
          </w:tcPr>
          <w:p>
            <w:pPr>
              <w:ind w:left="120"/>
              <w:spacing w:after="0" w:line="128"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Borders>
              <w:bottom w:val="single" w:sz="8" w:color="2C2C2C"/>
            </w:tcBorders>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9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w w:val="92"/>
              </w:rPr>
              <w:t>5. Number of</w:t>
            </w:r>
          </w:p>
        </w:tc>
        <w:tc>
          <w:tcPr>
            <w:tcW w:w="220" w:type="dxa"/>
            <w:vAlign w:val="bottom"/>
          </w:tcPr>
          <w:p>
            <w:pPr>
              <w:spacing w:after="0"/>
              <w:rPr>
                <w:sz w:val="12"/>
                <w:szCs w:val="12"/>
                <w:color w:val="auto"/>
              </w:rPr>
            </w:pPr>
          </w:p>
        </w:tc>
        <w:tc>
          <w:tcPr>
            <w:tcW w:w="14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00" w:type="dxa"/>
            <w:vAlign w:val="bottom"/>
          </w:tcPr>
          <w:p>
            <w:pPr>
              <w:jc w:val="right"/>
              <w:ind w:right="22"/>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Expiration Date</w:t>
            </w: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 Underlying</w:t>
            </w:r>
          </w:p>
        </w:tc>
        <w:tc>
          <w:tcPr>
            <w:tcW w:w="700" w:type="dxa"/>
            <w:vAlign w:val="bottom"/>
          </w:tcPr>
          <w:p>
            <w:pPr>
              <w:jc w:val="right"/>
              <w:ind w:right="22"/>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jc w:val="right"/>
              <w:ind w:right="122"/>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10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jc w:val="right"/>
              <w:ind w:right="122"/>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(Instr. 3, 4 and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5)</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Amount or</w:t>
            </w:r>
          </w:p>
        </w:tc>
        <w:tc>
          <w:tcPr>
            <w:tcW w:w="7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Expiration</w:t>
            </w:r>
          </w:p>
        </w:tc>
        <w:tc>
          <w:tcPr>
            <w:tcW w:w="620" w:type="dxa"/>
            <w:vAlign w:val="bottom"/>
          </w:tcPr>
          <w:p>
            <w:pPr>
              <w:spacing w:after="0"/>
              <w:rPr>
                <w:sz w:val="11"/>
                <w:szCs w:val="11"/>
                <w:color w:val="auto"/>
              </w:rPr>
            </w:pPr>
          </w:p>
        </w:tc>
        <w:tc>
          <w:tcPr>
            <w:tcW w:w="8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Number 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2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Series A</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3"/>
                <w:szCs w:val="13"/>
                <w:color w:val="0000FF"/>
              </w:rPr>
              <w:t>By EnCap</w:t>
            </w:r>
          </w:p>
        </w:tc>
        <w:tc>
          <w:tcPr>
            <w:tcW w:w="0" w:type="dxa"/>
            <w:vAlign w:val="bottom"/>
          </w:tcPr>
          <w:p>
            <w:pPr>
              <w:spacing w:after="0"/>
              <w:rPr>
                <w:sz w:val="1"/>
                <w:szCs w:val="1"/>
                <w:color w:val="auto"/>
              </w:rPr>
            </w:pPr>
          </w:p>
        </w:tc>
      </w:tr>
      <w:tr>
        <w:trPr>
          <w:trHeight w:val="64"/>
        </w:trPr>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rPr>
              <w:t>Energy</w:t>
            </w:r>
          </w:p>
        </w:tc>
        <w:tc>
          <w:tcPr>
            <w:tcW w:w="0" w:type="dxa"/>
            <w:vAlign w:val="bottom"/>
          </w:tcPr>
          <w:p>
            <w:pPr>
              <w:spacing w:after="0"/>
              <w:rPr>
                <w:sz w:val="1"/>
                <w:szCs w:val="1"/>
                <w:color w:val="auto"/>
              </w:rPr>
            </w:pPr>
          </w:p>
        </w:tc>
      </w:tr>
      <w:tr>
        <w:trPr>
          <w:trHeight w:val="77"/>
        </w:trPr>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Convertible</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w w:val="91"/>
              </w:rPr>
              <w:t>10,884,354</w:t>
            </w: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vMerge w:val="restart"/>
          </w:tcPr>
          <w:p>
            <w:pPr>
              <w:ind w:left="280"/>
              <w:spacing w:after="0" w:line="200" w:lineRule="exact"/>
              <w:rPr>
                <w:sz w:val="20"/>
                <w:szCs w:val="20"/>
                <w:color w:val="auto"/>
              </w:rPr>
            </w:pPr>
            <w:r>
              <w:rPr>
                <w:rFonts w:ascii="Arial" w:cs="Arial" w:eastAsia="Arial" w:hAnsi="Arial"/>
                <w:sz w:val="23"/>
                <w:szCs w:val="23"/>
                <w:color w:val="0000FF"/>
                <w:vertAlign w:val="subscript"/>
              </w:rPr>
              <w:t>I</w:t>
            </w:r>
            <w:r>
              <w:rPr>
                <w:rFonts w:ascii="Arial" w:cs="Arial" w:eastAsia="Arial" w:hAnsi="Arial"/>
                <w:sz w:val="10"/>
                <w:szCs w:val="10"/>
                <w:color w:val="008000"/>
              </w:rPr>
              <w:t>(3)</w:t>
            </w: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7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080" w:type="dxa"/>
            <w:vAlign w:val="bottom"/>
          </w:tcPr>
          <w:p>
            <w:pPr>
              <w:jc w:val="right"/>
              <w:ind w:right="180"/>
              <w:spacing w:after="0" w:line="124" w:lineRule="exact"/>
              <w:rPr>
                <w:sz w:val="20"/>
                <w:szCs w:val="20"/>
                <w:color w:val="auto"/>
              </w:rPr>
            </w:pPr>
            <w:r>
              <w:rPr>
                <w:rFonts w:ascii="Arial" w:cs="Arial" w:eastAsia="Arial" w:hAnsi="Arial"/>
                <w:sz w:val="13"/>
                <w:szCs w:val="13"/>
                <w:color w:val="0000FF"/>
              </w:rPr>
              <w:t>01/12/2016</w:t>
            </w:r>
          </w:p>
        </w:tc>
        <w:tc>
          <w:tcPr>
            <w:tcW w:w="1060" w:type="dxa"/>
            <w:vAlign w:val="bottom"/>
          </w:tcPr>
          <w:p>
            <w:pPr>
              <w:spacing w:after="0"/>
              <w:rPr>
                <w:sz w:val="10"/>
                <w:szCs w:val="10"/>
                <w:color w:val="auto"/>
              </w:rPr>
            </w:pPr>
          </w:p>
        </w:tc>
        <w:tc>
          <w:tcPr>
            <w:tcW w:w="800" w:type="dxa"/>
            <w:vAlign w:val="bottom"/>
          </w:tcPr>
          <w:p>
            <w:pPr>
              <w:ind w:left="180"/>
              <w:spacing w:after="0" w:line="124" w:lineRule="exact"/>
              <w:rPr>
                <w:sz w:val="20"/>
                <w:szCs w:val="20"/>
                <w:color w:val="auto"/>
              </w:rPr>
            </w:pPr>
            <w:r>
              <w:rPr>
                <w:rFonts w:ascii="Arial" w:cs="Arial" w:eastAsia="Arial" w:hAnsi="Arial"/>
                <w:sz w:val="13"/>
                <w:szCs w:val="13"/>
                <w:color w:val="0000FF"/>
              </w:rPr>
              <w:t>P</w:t>
            </w:r>
          </w:p>
        </w:tc>
        <w:tc>
          <w:tcPr>
            <w:tcW w:w="780" w:type="dxa"/>
            <w:vAlign w:val="bottom"/>
          </w:tcPr>
          <w:p>
            <w:pPr>
              <w:ind w:left="80"/>
              <w:spacing w:after="0" w:line="124" w:lineRule="exact"/>
              <w:rPr>
                <w:sz w:val="20"/>
                <w:szCs w:val="20"/>
                <w:color w:val="auto"/>
              </w:rPr>
            </w:pPr>
            <w:r>
              <w:rPr>
                <w:rFonts w:ascii="Arial" w:cs="Arial" w:eastAsia="Arial" w:hAnsi="Arial"/>
                <w:sz w:val="13"/>
                <w:szCs w:val="13"/>
                <w:color w:val="0000FF"/>
              </w:rPr>
              <w:t>10,884,354</w:t>
            </w:r>
          </w:p>
        </w:tc>
        <w:tc>
          <w:tcPr>
            <w:tcW w:w="2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700" w:type="dxa"/>
            <w:vAlign w:val="bottom"/>
          </w:tcPr>
          <w:p>
            <w:pPr>
              <w:jc w:val="right"/>
              <w:ind w:right="122"/>
              <w:spacing w:after="0" w:line="124"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26.25</w:t>
            </w:r>
          </w:p>
        </w:tc>
        <w:tc>
          <w:tcPr>
            <w:tcW w:w="920" w:type="dxa"/>
            <w:vAlign w:val="bottom"/>
          </w:tcPr>
          <w:p>
            <w:pPr>
              <w:ind w:left="180"/>
              <w:spacing w:after="0" w:line="124" w:lineRule="exact"/>
              <w:rPr>
                <w:sz w:val="20"/>
                <w:szCs w:val="20"/>
                <w:color w:val="auto"/>
              </w:rPr>
            </w:pPr>
            <w:r>
              <w:rPr>
                <w:rFonts w:ascii="Arial" w:cs="Arial" w:eastAsia="Arial" w:hAnsi="Arial"/>
                <w:sz w:val="13"/>
                <w:szCs w:val="13"/>
                <w:color w:val="0000FF"/>
              </w:rPr>
              <w:t>10,884,354</w:t>
            </w:r>
          </w:p>
        </w:tc>
        <w:tc>
          <w:tcPr>
            <w:tcW w:w="720" w:type="dxa"/>
            <w:vAlign w:val="bottom"/>
            <w:vMerge w:val="continue"/>
          </w:tcPr>
          <w:p>
            <w:pPr>
              <w:spacing w:after="0"/>
              <w:rPr>
                <w:sz w:val="10"/>
                <w:szCs w:val="10"/>
                <w:color w:val="auto"/>
              </w:rPr>
            </w:pPr>
          </w:p>
        </w:tc>
        <w:tc>
          <w:tcPr>
            <w:tcW w:w="740" w:type="dxa"/>
            <w:vAlign w:val="bottom"/>
          </w:tcPr>
          <w:p>
            <w:pPr>
              <w:ind w:left="80"/>
              <w:spacing w:after="0" w:line="124"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81"/>
        </w:trPr>
        <w:tc>
          <w:tcPr>
            <w:tcW w:w="740" w:type="dxa"/>
            <w:vAlign w:val="bottom"/>
          </w:tcPr>
          <w:p>
            <w:pPr>
              <w:ind w:left="60"/>
              <w:spacing w:after="0" w:line="81" w:lineRule="exact"/>
              <w:rPr>
                <w:sz w:val="20"/>
                <w:szCs w:val="20"/>
                <w:color w:val="auto"/>
              </w:rPr>
            </w:pPr>
            <w:r>
              <w:rPr>
                <w:rFonts w:ascii="Arial" w:cs="Arial" w:eastAsia="Arial" w:hAnsi="Arial"/>
                <w:sz w:val="9"/>
                <w:szCs w:val="9"/>
                <w:color w:val="0000FF"/>
              </w:rPr>
              <w:t>Preferred</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ind w:left="180"/>
              <w:spacing w:after="0" w:line="81" w:lineRule="exact"/>
              <w:rPr>
                <w:sz w:val="20"/>
                <w:szCs w:val="20"/>
                <w:color w:val="auto"/>
              </w:rPr>
            </w:pPr>
            <w:r>
              <w:rPr>
                <w:rFonts w:ascii="Arial" w:cs="Arial" w:eastAsia="Arial" w:hAnsi="Arial"/>
                <w:sz w:val="9"/>
                <w:szCs w:val="9"/>
                <w:color w:val="0000FF"/>
              </w:rPr>
              <w:t>Units</w:t>
            </w:r>
          </w:p>
        </w:tc>
        <w:tc>
          <w:tcPr>
            <w:tcW w:w="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rPr>
              <w:t>Fund X,</w:t>
            </w:r>
          </w:p>
        </w:tc>
        <w:tc>
          <w:tcPr>
            <w:tcW w:w="0" w:type="dxa"/>
            <w:vAlign w:val="bottom"/>
          </w:tcPr>
          <w:p>
            <w:pPr>
              <w:spacing w:after="0"/>
              <w:rPr>
                <w:sz w:val="1"/>
                <w:szCs w:val="1"/>
                <w:color w:val="auto"/>
              </w:rPr>
            </w:pPr>
          </w:p>
        </w:tc>
      </w:tr>
      <w:tr>
        <w:trPr>
          <w:trHeight w:val="77"/>
        </w:trPr>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7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rPr>
              <w:t>L.P.</w:t>
            </w:r>
          </w:p>
        </w:tc>
        <w:tc>
          <w:tcPr>
            <w:tcW w:w="0" w:type="dxa"/>
            <w:vAlign w:val="bottom"/>
          </w:tcPr>
          <w:p>
            <w:pPr>
              <w:spacing w:after="0"/>
              <w:rPr>
                <w:sz w:val="1"/>
                <w:szCs w:val="1"/>
                <w:color w:val="auto"/>
              </w:rPr>
            </w:pPr>
          </w:p>
        </w:tc>
      </w:tr>
      <w:tr>
        <w:trPr>
          <w:trHeight w:val="77"/>
        </w:trPr>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Series A</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3"/>
                <w:szCs w:val="13"/>
                <w:color w:val="0000FF"/>
              </w:rPr>
              <w:t>By EnCap</w:t>
            </w:r>
          </w:p>
        </w:tc>
        <w:tc>
          <w:tcPr>
            <w:tcW w:w="0" w:type="dxa"/>
            <w:vAlign w:val="bottom"/>
          </w:tcPr>
          <w:p>
            <w:pPr>
              <w:spacing w:after="0"/>
              <w:rPr>
                <w:sz w:val="1"/>
                <w:szCs w:val="1"/>
                <w:color w:val="auto"/>
              </w:rPr>
            </w:pPr>
          </w:p>
        </w:tc>
      </w:tr>
      <w:tr>
        <w:trPr>
          <w:trHeight w:val="64"/>
        </w:trPr>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rPr>
              <w:t>Flatrock</w:t>
            </w:r>
          </w:p>
        </w:tc>
        <w:tc>
          <w:tcPr>
            <w:tcW w:w="0" w:type="dxa"/>
            <w:vAlign w:val="bottom"/>
          </w:tcPr>
          <w:p>
            <w:pPr>
              <w:spacing w:after="0"/>
              <w:rPr>
                <w:sz w:val="1"/>
                <w:szCs w:val="1"/>
                <w:color w:val="auto"/>
              </w:rPr>
            </w:pPr>
          </w:p>
        </w:tc>
      </w:tr>
      <w:tr>
        <w:trPr>
          <w:trHeight w:val="77"/>
        </w:trPr>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Convertible</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w w:val="91"/>
              </w:rPr>
              <w:t>10,884,354</w:t>
            </w: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vMerge w:val="restart"/>
          </w:tcPr>
          <w:p>
            <w:pPr>
              <w:ind w:left="280"/>
              <w:spacing w:after="0" w:line="200" w:lineRule="exact"/>
              <w:rPr>
                <w:sz w:val="20"/>
                <w:szCs w:val="20"/>
                <w:color w:val="auto"/>
              </w:rPr>
            </w:pPr>
            <w:r>
              <w:rPr>
                <w:rFonts w:ascii="Arial" w:cs="Arial" w:eastAsia="Arial" w:hAnsi="Arial"/>
                <w:sz w:val="23"/>
                <w:szCs w:val="23"/>
                <w:color w:val="0000FF"/>
                <w:vertAlign w:val="subscript"/>
              </w:rPr>
              <w:t>I</w:t>
            </w:r>
            <w:r>
              <w:rPr>
                <w:rFonts w:ascii="Arial" w:cs="Arial" w:eastAsia="Arial" w:hAnsi="Arial"/>
                <w:sz w:val="10"/>
                <w:szCs w:val="10"/>
                <w:color w:val="008000"/>
              </w:rPr>
              <w:t>(4)</w:t>
            </w: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7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080" w:type="dxa"/>
            <w:vAlign w:val="bottom"/>
          </w:tcPr>
          <w:p>
            <w:pPr>
              <w:jc w:val="right"/>
              <w:ind w:right="180"/>
              <w:spacing w:after="0" w:line="124" w:lineRule="exact"/>
              <w:rPr>
                <w:sz w:val="20"/>
                <w:szCs w:val="20"/>
                <w:color w:val="auto"/>
              </w:rPr>
            </w:pPr>
            <w:r>
              <w:rPr>
                <w:rFonts w:ascii="Arial" w:cs="Arial" w:eastAsia="Arial" w:hAnsi="Arial"/>
                <w:sz w:val="13"/>
                <w:szCs w:val="13"/>
                <w:color w:val="0000FF"/>
              </w:rPr>
              <w:t>01/12/2016</w:t>
            </w:r>
          </w:p>
        </w:tc>
        <w:tc>
          <w:tcPr>
            <w:tcW w:w="1060" w:type="dxa"/>
            <w:vAlign w:val="bottom"/>
          </w:tcPr>
          <w:p>
            <w:pPr>
              <w:spacing w:after="0"/>
              <w:rPr>
                <w:sz w:val="10"/>
                <w:szCs w:val="10"/>
                <w:color w:val="auto"/>
              </w:rPr>
            </w:pPr>
          </w:p>
        </w:tc>
        <w:tc>
          <w:tcPr>
            <w:tcW w:w="800" w:type="dxa"/>
            <w:vAlign w:val="bottom"/>
          </w:tcPr>
          <w:p>
            <w:pPr>
              <w:ind w:left="180"/>
              <w:spacing w:after="0" w:line="124" w:lineRule="exact"/>
              <w:rPr>
                <w:sz w:val="20"/>
                <w:szCs w:val="20"/>
                <w:color w:val="auto"/>
              </w:rPr>
            </w:pPr>
            <w:r>
              <w:rPr>
                <w:rFonts w:ascii="Arial" w:cs="Arial" w:eastAsia="Arial" w:hAnsi="Arial"/>
                <w:sz w:val="13"/>
                <w:szCs w:val="13"/>
                <w:color w:val="0000FF"/>
              </w:rPr>
              <w:t>P</w:t>
            </w:r>
          </w:p>
        </w:tc>
        <w:tc>
          <w:tcPr>
            <w:tcW w:w="780" w:type="dxa"/>
            <w:vAlign w:val="bottom"/>
          </w:tcPr>
          <w:p>
            <w:pPr>
              <w:ind w:left="80"/>
              <w:spacing w:after="0" w:line="124" w:lineRule="exact"/>
              <w:rPr>
                <w:sz w:val="20"/>
                <w:szCs w:val="20"/>
                <w:color w:val="auto"/>
              </w:rPr>
            </w:pPr>
            <w:r>
              <w:rPr>
                <w:rFonts w:ascii="Arial" w:cs="Arial" w:eastAsia="Arial" w:hAnsi="Arial"/>
                <w:sz w:val="13"/>
                <w:szCs w:val="13"/>
                <w:color w:val="0000FF"/>
              </w:rPr>
              <w:t>10,884,354</w:t>
            </w:r>
          </w:p>
        </w:tc>
        <w:tc>
          <w:tcPr>
            <w:tcW w:w="2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700" w:type="dxa"/>
            <w:vAlign w:val="bottom"/>
          </w:tcPr>
          <w:p>
            <w:pPr>
              <w:jc w:val="right"/>
              <w:ind w:right="122"/>
              <w:spacing w:after="0" w:line="124"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26.25</w:t>
            </w:r>
          </w:p>
        </w:tc>
        <w:tc>
          <w:tcPr>
            <w:tcW w:w="920" w:type="dxa"/>
            <w:vAlign w:val="bottom"/>
          </w:tcPr>
          <w:p>
            <w:pPr>
              <w:ind w:left="180"/>
              <w:spacing w:after="0" w:line="124" w:lineRule="exact"/>
              <w:rPr>
                <w:sz w:val="20"/>
                <w:szCs w:val="20"/>
                <w:color w:val="auto"/>
              </w:rPr>
            </w:pPr>
            <w:r>
              <w:rPr>
                <w:rFonts w:ascii="Arial" w:cs="Arial" w:eastAsia="Arial" w:hAnsi="Arial"/>
                <w:sz w:val="13"/>
                <w:szCs w:val="13"/>
                <w:color w:val="0000FF"/>
              </w:rPr>
              <w:t>21,768,708</w:t>
            </w:r>
          </w:p>
        </w:tc>
        <w:tc>
          <w:tcPr>
            <w:tcW w:w="720" w:type="dxa"/>
            <w:vAlign w:val="bottom"/>
            <w:vMerge w:val="continue"/>
          </w:tcPr>
          <w:p>
            <w:pPr>
              <w:spacing w:after="0"/>
              <w:rPr>
                <w:sz w:val="10"/>
                <w:szCs w:val="10"/>
                <w:color w:val="auto"/>
              </w:rPr>
            </w:pPr>
          </w:p>
        </w:tc>
        <w:tc>
          <w:tcPr>
            <w:tcW w:w="740" w:type="dxa"/>
            <w:vAlign w:val="bottom"/>
          </w:tcPr>
          <w:p>
            <w:pPr>
              <w:ind w:left="80"/>
              <w:spacing w:after="0" w:line="124" w:lineRule="exact"/>
              <w:rPr>
                <w:sz w:val="20"/>
                <w:szCs w:val="20"/>
                <w:color w:val="auto"/>
              </w:rPr>
            </w:pPr>
            <w:r>
              <w:rPr>
                <w:rFonts w:ascii="Arial" w:cs="Arial" w:eastAsia="Arial" w:hAnsi="Arial"/>
                <w:sz w:val="13"/>
                <w:szCs w:val="13"/>
                <w:color w:val="0000FF"/>
              </w:rPr>
              <w:t>Midstream</w:t>
            </w:r>
          </w:p>
        </w:tc>
        <w:tc>
          <w:tcPr>
            <w:tcW w:w="0" w:type="dxa"/>
            <w:vAlign w:val="bottom"/>
          </w:tcPr>
          <w:p>
            <w:pPr>
              <w:spacing w:after="0"/>
              <w:rPr>
                <w:sz w:val="1"/>
                <w:szCs w:val="1"/>
                <w:color w:val="auto"/>
              </w:rPr>
            </w:pPr>
          </w:p>
        </w:tc>
      </w:tr>
      <w:tr>
        <w:trPr>
          <w:trHeight w:val="81"/>
        </w:trPr>
        <w:tc>
          <w:tcPr>
            <w:tcW w:w="740" w:type="dxa"/>
            <w:vAlign w:val="bottom"/>
          </w:tcPr>
          <w:p>
            <w:pPr>
              <w:ind w:left="60"/>
              <w:spacing w:after="0" w:line="81" w:lineRule="exact"/>
              <w:rPr>
                <w:sz w:val="20"/>
                <w:szCs w:val="20"/>
                <w:color w:val="auto"/>
              </w:rPr>
            </w:pPr>
            <w:r>
              <w:rPr>
                <w:rFonts w:ascii="Arial" w:cs="Arial" w:eastAsia="Arial" w:hAnsi="Arial"/>
                <w:sz w:val="9"/>
                <w:szCs w:val="9"/>
                <w:color w:val="0000FF"/>
              </w:rPr>
              <w:t>Preferred</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ind w:left="180"/>
              <w:spacing w:after="0" w:line="81" w:lineRule="exact"/>
              <w:rPr>
                <w:sz w:val="20"/>
                <w:szCs w:val="20"/>
                <w:color w:val="auto"/>
              </w:rPr>
            </w:pPr>
            <w:r>
              <w:rPr>
                <w:rFonts w:ascii="Arial" w:cs="Arial" w:eastAsia="Arial" w:hAnsi="Arial"/>
                <w:sz w:val="9"/>
                <w:szCs w:val="9"/>
                <w:color w:val="0000FF"/>
              </w:rPr>
              <w:t>Units</w:t>
            </w:r>
          </w:p>
        </w:tc>
        <w:tc>
          <w:tcPr>
            <w:tcW w:w="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rPr>
              <w:t>Fund III,</w:t>
            </w:r>
          </w:p>
        </w:tc>
        <w:tc>
          <w:tcPr>
            <w:tcW w:w="0" w:type="dxa"/>
            <w:vAlign w:val="bottom"/>
          </w:tcPr>
          <w:p>
            <w:pPr>
              <w:spacing w:after="0"/>
              <w:rPr>
                <w:sz w:val="1"/>
                <w:szCs w:val="1"/>
                <w:color w:val="auto"/>
              </w:rPr>
            </w:pPr>
          </w:p>
        </w:tc>
      </w:tr>
      <w:tr>
        <w:trPr>
          <w:trHeight w:val="77"/>
        </w:trPr>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7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rPr>
              <w:t>L.P.</w:t>
            </w:r>
          </w:p>
        </w:tc>
        <w:tc>
          <w:tcPr>
            <w:tcW w:w="0" w:type="dxa"/>
            <w:vAlign w:val="bottom"/>
          </w:tcPr>
          <w:p>
            <w:pPr>
              <w:spacing w:after="0"/>
              <w:rPr>
                <w:sz w:val="1"/>
                <w:szCs w:val="1"/>
                <w:color w:val="auto"/>
              </w:rPr>
            </w:pPr>
          </w:p>
        </w:tc>
      </w:tr>
      <w:tr>
        <w:trPr>
          <w:trHeight w:val="77"/>
        </w:trPr>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1"/>
        <w:spacing w:after="0" w:line="258"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January 12, 2016, the Issuer entered into a Series A Preferred Unit Purchase Agreement with EnCap Energy Capital Fund X, L.P. ("EnCap Fund X") and EnCap Flatrock Midstream Fund III, L.P. ("EFM III") and the other purchasers party thereto (the "Purchasers"), whereby the Purchasers agreed to purchase Series A Convertible Preferred Units representing limited partner interests in the Issuer (the "Preferred Units"). The Preferred Units will be issued upon closing, which is expected to occur on January 28, 2016. The Preferred Units are convertible on a one-for-one basis (subject to customary anti-dilution adjustments) (i) by the holders of such Preferred Units after the second anniversary of the issue date, and (ii) by the Issuer after the third anniversary of the issue date.</w:t>
      </w:r>
    </w:p>
    <w:p>
      <w:pPr>
        <w:spacing w:after="0" w:line="19" w:lineRule="exact"/>
        <w:rPr>
          <w:rFonts w:ascii="Arial" w:cs="Arial" w:eastAsia="Arial" w:hAnsi="Arial"/>
          <w:sz w:val="12"/>
          <w:szCs w:val="12"/>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Preferred Units are perpetual in nature and have no expiration date.</w:t>
      </w:r>
    </w:p>
    <w:p>
      <w:pPr>
        <w:spacing w:after="0" w:line="42" w:lineRule="exact"/>
        <w:rPr>
          <w:rFonts w:ascii="Arial" w:cs="Arial" w:eastAsia="Arial" w:hAnsi="Arial"/>
          <w:sz w:val="13"/>
          <w:szCs w:val="13"/>
          <w:color w:val="008000"/>
        </w:rPr>
      </w:pPr>
    </w:p>
    <w:p>
      <w:pPr>
        <w:ind w:left="40" w:right="200" w:firstLine="1"/>
        <w:spacing w:after="0" w:line="23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directly held by EnCap Fund X. Gary R. Petersen may be deemed the beneficial owner of securities held by EnCap Fund X by virtue of being a member of EnCap Partners, LLC, which is the managing member of EnCap Investments Holdings, LLC, which is the sole member of EnCap Investments GP, L.L.C., the general partner of EnCap Investments L.P., the general partner of EnCap Equity Fund X GP, L.P., the general partner of EnCap Fund X. Mr. Petersen disclaims beneficial ownership of the reported securities except to the extent of his pecuniary interest therein, and this report shall not be deemed an admission that the reporting person is the beneficial owner of the reported securities for purposes of Section 16 or for any other purpose.</w:t>
      </w:r>
    </w:p>
    <w:p>
      <w:pPr>
        <w:spacing w:after="0" w:line="30" w:lineRule="exact"/>
        <w:rPr>
          <w:rFonts w:ascii="Arial" w:cs="Arial" w:eastAsia="Arial" w:hAnsi="Arial"/>
          <w:sz w:val="13"/>
          <w:szCs w:val="13"/>
          <w:color w:val="008000"/>
        </w:rPr>
      </w:pPr>
    </w:p>
    <w:p>
      <w:pPr>
        <w:jc w:val="both"/>
        <w:ind w:left="40" w:right="240" w:firstLine="1"/>
        <w:spacing w:after="0" w:line="258"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are directly held by EFM III. Gary R. Petersen may be deemed the beneficial owner of securities held by EFM III by virtue of being a member of EnCap Partners, LLC, which is the managing member of EnCap Investments Holdings, LLC, which is the sole member of EnCap Investments GP, L.L.C., the general partner of EnCap Investments L.P., a member of EnCap Flatrock Midstream Fund III General Partner, LLC, the general partner of EnCap Flatrock Midstream Fund III GP, L.P., the general partner of EFM III. Mr. Petersen disclaims beneficial ownership of the reported securities except to the extent of his pecuniary interest therein, and this report shall not be deemed an admission that the reporting person is the beneficial owner of the reported securities for purposes of Section 16 or for any other purpose.</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340" w:type="dxa"/>
            <w:vAlign w:val="bottom"/>
          </w:tcPr>
          <w:p>
            <w:pPr>
              <w:spacing w:after="0"/>
              <w:rPr>
                <w:sz w:val="20"/>
                <w:szCs w:val="20"/>
                <w:color w:val="auto"/>
              </w:rPr>
            </w:pPr>
            <w:r>
              <w:rPr>
                <w:rFonts w:ascii="Arial" w:cs="Arial" w:eastAsia="Arial" w:hAnsi="Arial"/>
                <w:sz w:val="17"/>
                <w:szCs w:val="17"/>
                <w:color w:val="0000FF"/>
                <w:w w:val="85"/>
              </w:rPr>
              <w:t>/s/ Gary R. Petersen</w:t>
            </w:r>
          </w:p>
        </w:tc>
        <w:tc>
          <w:tcPr>
            <w:tcW w:w="740" w:type="dxa"/>
            <w:vAlign w:val="bottom"/>
          </w:tcPr>
          <w:p>
            <w:pPr>
              <w:spacing w:after="0"/>
              <w:rPr>
                <w:sz w:val="16"/>
                <w:szCs w:val="16"/>
                <w:color w:val="auto"/>
              </w:rPr>
            </w:pPr>
          </w:p>
        </w:tc>
        <w:tc>
          <w:tcPr>
            <w:tcW w:w="960" w:type="dxa"/>
            <w:vAlign w:val="bottom"/>
            <w:gridSpan w:val="2"/>
          </w:tcPr>
          <w:p>
            <w:pPr>
              <w:ind w:left="220"/>
              <w:spacing w:after="0"/>
              <w:rPr>
                <w:sz w:val="20"/>
                <w:szCs w:val="20"/>
                <w:color w:val="auto"/>
              </w:rPr>
            </w:pPr>
            <w:r>
              <w:rPr>
                <w:rFonts w:ascii="Arial" w:cs="Arial" w:eastAsia="Arial" w:hAnsi="Arial"/>
                <w:sz w:val="17"/>
                <w:szCs w:val="17"/>
                <w:color w:val="0000FF"/>
                <w:w w:val="84"/>
              </w:rPr>
              <w:t>01/14/2016</w:t>
            </w:r>
          </w:p>
        </w:tc>
      </w:tr>
      <w:tr>
        <w:trPr>
          <w:trHeight w:val="20"/>
        </w:trPr>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220"/>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4100" w:firstLine="1"/>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757"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2020-01-19T05:32:19Z</dcterms:created>
  <dcterms:modified xsi:type="dcterms:W3CDTF">2020-01-19T05:32:19Z</dcterms:modified>
</cp:coreProperties>
</file>