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6525_18k.htm"/>
      <w:bookmarkStart w:id="1" w:name="ksa0516525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September 20,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(State or other jurisdiction of </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In accordance with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On September 20, 2005, Plains All American Pipeline, L.P. (the Partnership) issued a press release announcing that it has commenced a public offering of 4,500,000 common units representing limited partner interests (the Offering) and that, contemporaneously with the Offering, the Partnership expects to issue 679,000 common units directly to investment funds affiliated with Kayne Anderson in a privately negotiated transaction (the Concurrent Sale).  The Partnership has also granted the underwriters for the Offering an option to purchase up to an additional 675,000 common units. The common units offered in the Offering and the Concurrent Sale will be offered pursuant to an effective shelf registration statement that the Partnership previously filed with the U.S. Securities and Exchange Commission. The Partnership is furnishing a copy of such press release as Exhibit 99.1 hereto.</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In connection with the Offering, management of the Partnership will be making roadshow presentations.  The slides that will be used in making such presentations are available on our website at www.paalp.com</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On July 28, 2005, the Partnership furnished a Current Report on Form 8-K, pursuant to Item 7.01, updating certain aspects of our previous guidance for financial performance for the third quarter, fourth quarter and full year of calendar 2005.   The guidance provided in such Current Report on Form 8-K is hereby confirmed.</w:t>
      </w:r>
    </w:p>
    <w:p>
      <w:pPr>
        <w:pStyle w:val="TextBody"/>
        <w:rPr>
          <w:spacing w:val="0"/>
        </w:rPr>
      </w:pPr>
      <w:r>
        <w:rPr>
          <w:spacing w:val="0"/>
        </w:rPr>
        <w:t> </w:t>
      </w:r>
    </w:p>
    <w:p>
      <w:pPr>
        <w:pStyle w:val="TextBody"/>
        <w:rPr>
          <w:rFonts w:ascii="Times New Roman" w:hAnsi="Times New Roman"/>
          <w:sz w:val="17"/>
        </w:rPr>
      </w:pPr>
      <w:r>
        <w:rPr>
          <w:rFonts w:ascii="Times New Roman" w:hAnsi="Times New Roman"/>
          <w:sz w:val="17"/>
        </w:rPr>
        <w:t>Except for the historical information contained herein, the matters discussed in this report are forward-looking statements that involve certain risks and uncertainties. These risks and uncertainties include, among other things: abrupt or severe production declines or production interruptions in outer continental shelf production located offshore California and transported on our pipeline systems; the success of our risk management activities; the availability of, and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lines of business that are distinct and separate from our historical operations; environmental liabilities or events that are not covered by an indemnity, insurance or existing reserves; maintenance of our credit rating and ability to receive open credit from our suppliers and trade counter-parties; declines in volumes shipped on the Basin Pipeline, Capline Pipeline and our other pipelines by us and third party shippers; the availability of adequate third party production volumes for transportation and marketing in the areas in which we operate; successful third party drilling efforts in areas in which we operate pipelines or gather crude oil; demand for natural gas or various grades of crude oil and resulting changes in pricing conditions or transmission throughput requirements; fluctuations in refinery capacity in areas supplied by our transmission lines; interruptions in service and fluctuations in rates of third-party pipelines; the effects of competition; continued credit worthiness of, and performance by, our counterparties; the impact of crude oil and natural gas price fluctuations; the impact of current and future laws, rulings and government regulations; shortages or cost increases in power supplies, materials or labor (including the direct and indirect effects of Hurricane Katrina on the availability of materials, the cost of natural gas and the demand for oil-field services); weather interference with business operations or project construction; the currency exchange rate of the Canadian dollar; fluctuation in the debt and equity capital markets, including the price of our units at the time of vesting under our Long-Term Incentive Plan; general economic, market or business conditions; and other factors and uncertainties inherent in the marketing, transportation, terminalling, gathering and storage of crude oil and liquefied petroleum gas (LPG) and the storage of natural gas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8.01.              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Offering, the Partnership included in its prospectus supplement for the Offering a description of certain risk factors affecting the Partnership and its business. That information is attached hereto as Exhibit 99.2.  The risk factors described in Exhibit 99.2 should be carefully read and reviewed along with the risks discussed in the Partnerships Annual Report on Form 10-K for the year ended December 31, 2004 and its Quarterly Reports on Form 10-Q for the quarters ended March 31, 2005 and June 30, 2005.</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rPr>
          <w:rFonts w:ascii="Times New Roman" w:hAnsi="Times New Roman"/>
          <w:spacing w:val="0"/>
          <w:sz w:val="17"/>
        </w:rPr>
      </w:pPr>
      <w:r>
        <w:rPr>
          <w:rFonts w:ascii="Times New Roman" w:hAnsi="Times New Roman"/>
          <w:spacing w:val="0"/>
          <w:sz w:val="17"/>
        </w:rPr>
        <w:t>The following table shows our ratio of earnings to fixed charges that was originally disclosed in our Form S-3, revised to reflect the portion of interest expense that is included in cost of goods sold in our financial statements:</w:t>
      </w:r>
    </w:p>
    <w:p>
      <w:pPr>
        <w:pStyle w:val="TextBody"/>
        <w:rPr>
          <w:spacing w:val="0"/>
        </w:rPr>
      </w:pPr>
      <w:r>
        <w:rPr>
          <w:spacing w:val="0"/>
        </w:rPr>
        <w:t> </w:t>
      </w:r>
    </w:p>
    <w:p>
      <w:pPr>
        <w:pStyle w:val="TextBody"/>
        <w:spacing w:before="0" w:after="0"/>
        <w:ind w:left="0" w:right="0" w:hanging="0"/>
        <w:rPr>
          <w:rFonts w:ascii="Times New Roman" w:hAnsi="Times New Roman"/>
          <w:b/>
          <w:sz w:val="17"/>
        </w:rPr>
      </w:pPr>
      <w:r>
        <w:rPr>
          <w:rFonts w:ascii="Times New Roman" w:hAnsi="Times New Roman"/>
          <w:b/>
          <w:sz w:val="17"/>
        </w:rPr>
        <w:t>RATIO OF EARNINGS TO FIXED CHARGES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64"/>
        <w:gridCol w:w="214"/>
        <w:gridCol w:w="1075"/>
        <w:gridCol w:w="214"/>
        <w:gridCol w:w="1075"/>
        <w:gridCol w:w="214"/>
        <w:gridCol w:w="1075"/>
        <w:gridCol w:w="214"/>
        <w:gridCol w:w="1075"/>
        <w:gridCol w:w="214"/>
        <w:gridCol w:w="1075"/>
        <w:gridCol w:w="214"/>
        <w:gridCol w:w="1075"/>
        <w:gridCol w:w="107"/>
      </w:tblGrid>
      <w:tr>
        <w:trPr/>
        <w:tc>
          <w:tcPr>
            <w:tcW w:w="23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7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 xml:space="preserve">Ended </w:t>
            </w:r>
          </w:p>
        </w:tc>
        <w:tc>
          <w:tcPr>
            <w:tcW w:w="214" w:type="dxa"/>
            <w:tcBorders/>
            <w:shd w:fill="auto" w:val="clear"/>
            <w:vAlign w:val="bottom"/>
          </w:tcPr>
          <w:p>
            <w:pPr>
              <w:pStyle w:val="TableContents"/>
              <w:spacing w:before="0" w:after="0"/>
              <w:ind w:left="0" w:right="0" w:hanging="0"/>
              <w:rPr/>
            </w:pPr>
            <w:r>
              <w:rPr/>
              <w:t> </w:t>
            </w:r>
          </w:p>
        </w:tc>
        <w:tc>
          <w:tcPr>
            <w:tcW w:w="6231"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07" w:type="dxa"/>
            <w:tcBorders/>
            <w:shd w:fill="auto" w:val="clear"/>
            <w:vAlign w:val="bottom"/>
          </w:tcPr>
          <w:p>
            <w:pPr>
              <w:pStyle w:val="TableContents"/>
              <w:spacing w:before="0" w:after="0"/>
              <w:ind w:left="0" w:right="0" w:hanging="0"/>
              <w:rPr/>
            </w:pPr>
            <w:r>
              <w:rPr/>
              <w:t> </w:t>
            </w:r>
          </w:p>
        </w:tc>
      </w:tr>
      <w:tr>
        <w:trPr/>
        <w:tc>
          <w:tcPr>
            <w:tcW w:w="23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7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2005</w:t>
            </w:r>
          </w:p>
        </w:tc>
        <w:tc>
          <w:tcPr>
            <w:tcW w:w="214" w:type="dxa"/>
            <w:tcBorders/>
            <w:shd w:fill="auto" w:val="clear"/>
            <w:vAlign w:val="bottom"/>
          </w:tcPr>
          <w:p>
            <w:pPr>
              <w:pStyle w:val="TableContents"/>
              <w:spacing w:before="0" w:after="0"/>
              <w:ind w:left="0" w:right="0" w:hanging="0"/>
              <w:rPr/>
            </w:pPr>
            <w:r>
              <w:rPr/>
              <w:t> </w:t>
            </w:r>
          </w:p>
        </w:tc>
        <w:tc>
          <w:tcPr>
            <w:tcW w:w="107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2004</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2003</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2001</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2000</w:t>
            </w:r>
          </w:p>
        </w:tc>
        <w:tc>
          <w:tcPr>
            <w:tcW w:w="107" w:type="dxa"/>
            <w:tcBorders/>
            <w:shd w:fill="auto" w:val="clear"/>
            <w:vAlign w:val="bottom"/>
          </w:tcPr>
          <w:p>
            <w:pPr>
              <w:pStyle w:val="TableContents"/>
              <w:spacing w:before="0" w:after="0"/>
              <w:ind w:left="0" w:right="0" w:hanging="0"/>
              <w:rPr/>
            </w:pPr>
            <w:r>
              <w:rPr/>
              <w:t> </w:t>
            </w:r>
          </w:p>
        </w:tc>
      </w:tr>
      <w:tr>
        <w:trPr/>
        <w:tc>
          <w:tcPr>
            <w:tcW w:w="23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RATIO OF EARNINGS TO FIXED CHARGES (1)</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14" w:type="dxa"/>
            <w:tcBorders/>
            <w:shd w:fill="CCEEFF" w:val="clear"/>
            <w:vAlign w:val="bottom"/>
          </w:tcPr>
          <w:p>
            <w:pPr>
              <w:pStyle w:val="TableContents"/>
              <w:spacing w:before="0" w:after="0"/>
              <w:ind w:left="0" w:right="0" w:hanging="0"/>
              <w:rPr/>
            </w:pPr>
            <w:r>
              <w:rPr/>
              <w:t> </w:t>
            </w:r>
          </w:p>
        </w:tc>
        <w:tc>
          <w:tcPr>
            <w:tcW w:w="10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0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Includes interest costs attributable to borrowings for inventory stored in a contango market of $3.4 million for the three months ended March 31, 2005, and $2.0 million, $1.0 million, $2.7 million, $3.2 million and $0.7 million for each of the years ended December 31, 2004, 2003, 2002, 2001 and 2000, respectively.  These interest costs are included in purchases and related costs in our GMT&amp;S segment profit as we consider interest on these borrowings a direct cost to storing the inventory.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w:t>
      </w:r>
      <w:r>
        <w:rPr>
          <w:rFonts w:ascii="Times New Roman" w:hAnsi="Times New Roman"/>
          <w:b/>
          <w:sz w:val="17"/>
        </w:rPr>
        <w:t>tem 9.01.</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99.1                           Press Release of Plains All American Pipeline, L.P. dated September 20, 2005.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99.2                           Risk Factors.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90"/>
        <w:gridCol w:w="624"/>
        <w:gridCol w:w="4791"/>
      </w:tblGrid>
      <w:tr>
        <w:trPr/>
        <w:tc>
          <w:tcPr>
            <w:tcW w:w="4790" w:type="dxa"/>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790" w:type="dxa"/>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September 20, 2005</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790"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790"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9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TIM MOORE </w:t>
            </w:r>
          </w:p>
        </w:tc>
      </w:tr>
      <w:tr>
        <w:trPr/>
        <w:tc>
          <w:tcPr>
            <w:tcW w:w="4790"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6525_1ex99d1.htm"/>
      <w:bookmarkStart w:id="3" w:name="ksa0516525_1ex99d1"/>
      <w:bookmarkEnd w:id="2"/>
      <w:bookmarkEnd w:id="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1"/>
        <w:gridCol w:w="526"/>
        <w:gridCol w:w="5156"/>
        <w:gridCol w:w="104"/>
        <w:gridCol w:w="3578"/>
      </w:tblGrid>
      <w:tr>
        <w:trPr/>
        <w:tc>
          <w:tcPr>
            <w:tcW w:w="841" w:type="dxa"/>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Contacts:</w:t>
            </w:r>
          </w:p>
        </w:tc>
        <w:tc>
          <w:tcPr>
            <w:tcW w:w="526" w:type="dxa"/>
            <w:tcBorders/>
            <w:shd w:fill="auto" w:val="clear"/>
            <w:vAlign w:val="bottom"/>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104" w:type="dxa"/>
            <w:tcBorders/>
            <w:shd w:fill="auto" w:val="clear"/>
            <w:vAlign w:val="bottom"/>
          </w:tcPr>
          <w:p>
            <w:pPr>
              <w:pStyle w:val="TableContents"/>
              <w:spacing w:before="0" w:after="0"/>
              <w:ind w:left="0" w:right="0" w:hanging="0"/>
              <w:rPr/>
            </w:pPr>
            <w:r>
              <w:rPr/>
              <w:t> </w:t>
            </w:r>
          </w:p>
        </w:tc>
        <w:tc>
          <w:tcPr>
            <w:tcW w:w="357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Brad A. Thielemann</w:t>
            </w:r>
          </w:p>
        </w:tc>
      </w:tr>
      <w:tr>
        <w:trPr/>
        <w:tc>
          <w:tcPr>
            <w:tcW w:w="841" w:type="dxa"/>
            <w:tcBorders/>
            <w:shd w:fill="auto" w:val="clear"/>
          </w:tcPr>
          <w:p>
            <w:pPr>
              <w:pStyle w:val="TableContents"/>
              <w:spacing w:before="0" w:after="0"/>
              <w:ind w:left="0" w:right="0" w:hanging="0"/>
              <w:rPr/>
            </w:pPr>
            <w:r>
              <w:rPr/>
              <w:t> </w:t>
            </w:r>
          </w:p>
        </w:tc>
        <w:tc>
          <w:tcPr>
            <w:tcW w:w="526" w:type="dxa"/>
            <w:tcBorders/>
            <w:shd w:fill="auto" w:val="clear"/>
            <w:vAlign w:val="bottom"/>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104" w:type="dxa"/>
            <w:tcBorders/>
            <w:shd w:fill="auto" w:val="clear"/>
            <w:vAlign w:val="bottom"/>
          </w:tcPr>
          <w:p>
            <w:pPr>
              <w:pStyle w:val="TableContents"/>
              <w:spacing w:before="0" w:after="0"/>
              <w:ind w:left="0" w:right="0" w:hanging="0"/>
              <w:rPr/>
            </w:pPr>
            <w:r>
              <w:rPr/>
              <w:t> </w:t>
            </w:r>
          </w:p>
        </w:tc>
        <w:tc>
          <w:tcPr>
            <w:tcW w:w="357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Special Projects</w:t>
            </w:r>
          </w:p>
        </w:tc>
      </w:tr>
      <w:tr>
        <w:trPr/>
        <w:tc>
          <w:tcPr>
            <w:tcW w:w="841" w:type="dxa"/>
            <w:tcBorders/>
            <w:shd w:fill="auto" w:val="clear"/>
          </w:tcPr>
          <w:p>
            <w:pPr>
              <w:pStyle w:val="TableContents"/>
              <w:spacing w:before="0" w:after="0"/>
              <w:ind w:left="0" w:right="0" w:hanging="0"/>
              <w:rPr/>
            </w:pPr>
            <w:r>
              <w:rPr/>
              <w:t> </w:t>
            </w:r>
          </w:p>
        </w:tc>
        <w:tc>
          <w:tcPr>
            <w:tcW w:w="526" w:type="dxa"/>
            <w:tcBorders/>
            <w:shd w:fill="auto" w:val="clear"/>
            <w:vAlign w:val="bottom"/>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104" w:type="dxa"/>
            <w:tcBorders/>
            <w:shd w:fill="auto" w:val="clear"/>
            <w:vAlign w:val="bottom"/>
          </w:tcPr>
          <w:p>
            <w:pPr>
              <w:pStyle w:val="TableContents"/>
              <w:spacing w:before="0" w:after="0"/>
              <w:ind w:left="0" w:right="0" w:hanging="0"/>
              <w:rPr/>
            </w:pPr>
            <w:r>
              <w:rPr/>
              <w:t> </w:t>
            </w:r>
          </w:p>
        </w:tc>
        <w:tc>
          <w:tcPr>
            <w:tcW w:w="357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Announces</w:t>
      </w:r>
    </w:p>
    <w:p>
      <w:pPr>
        <w:pStyle w:val="TextBody"/>
        <w:spacing w:before="0" w:after="0"/>
        <w:ind w:left="0" w:right="0" w:hanging="0"/>
        <w:jc w:val="center"/>
        <w:rPr>
          <w:rFonts w:ascii="Times New Roman" w:hAnsi="Times New Roman"/>
          <w:b/>
          <w:sz w:val="17"/>
        </w:rPr>
      </w:pPr>
      <w:r>
        <w:rPr>
          <w:rFonts w:ascii="Times New Roman" w:hAnsi="Times New Roman"/>
          <w:b/>
          <w:sz w:val="17"/>
        </w:rPr>
        <w:t>Public Offering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September 20, 2005) Plains All American Pipeline, L.P. (NYSE: PAA) announced today that it plans to sell to the public 4,500,000 common units pursuant to an effective shelf registration statement on Form S-3 previously filed with the Securities and Exchange Commission. The underwriters have the option to purchase up to 675,000 additional units to cover over-allotments, if any.  Wachovia Capital Markets, LLC and UBS Investment Bank will act as joint book-running lead managers of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this public offering, the Partnership intends to offer 679,000 common units, also to be issued pursuant to its existing shelf registration statement, to two purchasers in a privately negotiated transaction. The direct placement is conditioned on the consummation of the public offering, but the public offering is not conditioned on the consummation of the direct placement.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intends to use the net proceeds from these issuances, including its general partners proportionate capital contribution, to repay indebtedness outstanding under its senior unsecured revolving credit facility and for general partnership purposes.  A portion of the debt to be repaid was incurred as a result of the recent acquisition by PAA/Vulcan Gas Storage, LLC of Energy Center Investments, which develops and operates underground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28, 2005, the Partnership furnished a Current Report on Form 8-K updating certain aspects of its previous guidance for financial performance for the third quarter, fourth quarter and full year of calendar 2005.  The guidance provided in such Current Report on Form 8-K was confirmed today by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copy of the prospectus supplement and related base prospectus relating to this offering may be obtained from Wachovia Capital Markets, LLC, 7 St. Paul Street, First Floor, Baltimore, MD 21202, Attn: Equity Syndicate, Phone: 443-263-6400, or from UBS Securities LLC, 299 Park Avenue, Prospectus Department, New York, NY 10171, Telephone 212-821-3000, or from any of the other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news release are forward-looking statements that involve certain risks and uncertainties. These risks and uncertainties include, among other things, the stability of the capital markets and other</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factors and uncertainties inherent in the marketing, transportation, terminalling, gathering and storage of crude oil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a joint venture with a subsidiary of Vulcan Capital, the Partnership is engaged in the development and operation of natural gas storage facilities in Michigan and Louisiana. The Partnerships common units are traded on the New York Stock Exchange under the symbol PAA. The Partnership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4" w:name="a05-16525_1ex99d2.htm"/>
      <w:bookmarkStart w:id="5" w:name="ksa0516525_1ex99d2"/>
      <w:bookmarkEnd w:id="4"/>
      <w:bookmarkEnd w:id="5"/>
      <w:r>
        <w:rPr>
          <w:rFonts w:ascii="Times New Roman" w:hAnsi="Times New Roman"/>
          <w:b/>
          <w:sz w:val="17"/>
        </w:rPr>
        <w:t>Exhibit 99.2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RISK FACTORS</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Risks Related to Our Business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The effects of Hurricane Katrina may adversely affect our business.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Our preliminary damage assessment of the impact of Hurricane Katrina on our Gulf Coast assets indicates that in most cases, our facilities lost power and communications but sustained relatively limited physical damage.  We are continuing to assess damage to our Gulf Coast assets.  The aggregate impact of the hurricane on our operations, however, may not be known for some time and will be dependent upon when power is restored to our various facilities, the extent of the damage to our and third party assets, the potential impact of shut-in crude oil production and refining capacity and the extent of any environmental exposure.</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also dependent upon our securing additional supplies of crude oil.  The interruption in the production of crude oil in the Gulf Coast region caused by Hurricane Katrina has reduced the production and limited the supply of crude oil available in the market and therefore decreased the volumes shipped on our pipelines and the volumes available for us to purchase in the market.  Although substantial uncertainty remains, as of September 20, 2005, we do not anticipate that the effects of Hurricane Katrina will have a material impact on our results of operations.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Future hurricanes, including Hurricane Rita which is entering the Gulf of Mexico as of the date of this prospectus supplement, could have effects similar to Hurricane Katrina and materially impact our results of operations.</w:t>
      </w:r>
    </w:p>
    <w:p>
      <w:pPr>
        <w:pStyle w:val="TextBody"/>
        <w:rPr>
          <w:spacing w:val="0"/>
        </w:rPr>
      </w:pPr>
      <w:r>
        <w:rPr>
          <w:spacing w:val="0"/>
        </w:rPr>
        <w:t> </w:t>
      </w:r>
    </w:p>
    <w:p>
      <w:pPr>
        <w:pStyle w:val="TextBody"/>
        <w:spacing w:before="0" w:after="0"/>
        <w:ind w:left="0" w:right="0" w:hanging="0"/>
        <w:jc w:val="left"/>
        <w:rPr>
          <w:rFonts w:ascii="Times New Roman" w:hAnsi="Times New Roman"/>
          <w:b/>
          <w:sz w:val="17"/>
        </w:rPr>
      </w:pPr>
      <w:r>
        <w:rPr>
          <w:rFonts w:ascii="Times New Roman" w:hAnsi="Times New Roman"/>
          <w:b/>
          <w:sz w:val="17"/>
        </w:rPr>
        <w:t>Risks Related to Marine Transportation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Marine transportation of crude oil has inherent operating risks.</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Our gathering and marking operations include purchasing crude oil that is carried on third 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of these circumstances or events could increase our costs or lower our revenues, which could result in reduction in the market price of our equity or debt securities.</w:t>
      </w:r>
    </w:p>
    <w:p>
      <w:pPr>
        <w:pStyle w:val="TextBody"/>
        <w:rPr>
          <w:spacing w:val="0"/>
        </w:rPr>
      </w:pPr>
      <w:r>
        <w:rPr>
          <w:spacing w:val="0"/>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Maritime claimants could arrest the vessels carrying our cargoes.</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pStyle w:val="TextBody"/>
        <w:rPr>
          <w:spacing w:val="0"/>
        </w:rPr>
      </w:pPr>
      <w:r>
        <w:rPr>
          <w:spacing w:val="0"/>
        </w:rPr>
        <w:t> </w:t>
      </w:r>
    </w:p>
    <w:p>
      <w:pPr>
        <w:pStyle w:val="TextBody"/>
        <w:spacing w:before="0" w:after="0"/>
        <w:ind w:left="0" w:right="0" w:hanging="0"/>
        <w:jc w:val="left"/>
        <w:rPr>
          <w:rFonts w:ascii="Times New Roman" w:hAnsi="Times New Roman"/>
          <w:b/>
          <w:sz w:val="17"/>
        </w:rPr>
      </w:pPr>
      <w:r>
        <w:rPr>
          <w:rFonts w:ascii="Times New Roman" w:hAnsi="Times New Roman"/>
          <w:b/>
          <w:sz w:val="17"/>
        </w:rPr>
        <w:t>Risks Related to Our Investment in the Natural Gas Storage Business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Our facilities are new and have limited operating history.</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Although we believe that our operating facilities are designed substantially to meet our contractual obligations with respect to injection and withdrawal volumes and specifications, the facilities are new and have a limited operating</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rPr>
          <w:rFonts w:ascii="Times New Roman" w:hAnsi="Times New Roman"/>
          <w:spacing w:val="0"/>
          <w:sz w:val="17"/>
        </w:rPr>
      </w:pPr>
      <w:r>
        <w:rPr>
          <w:rFonts w:ascii="Times New Roman" w:hAnsi="Times New Roman"/>
          <w:spacing w:val="0"/>
          <w:sz w:val="17"/>
        </w:rPr>
        <w:t>history.  If we fail to receive or deliver natural gas at contracted rates, or cannot deliver natural gas consistent with contractual quality specifications, we could incur significant costs to maintain compliance with our contracts.</w:t>
      </w:r>
    </w:p>
    <w:p>
      <w:pPr>
        <w:pStyle w:val="TextBody"/>
        <w:rPr>
          <w:spacing w:val="0"/>
        </w:rPr>
      </w:pPr>
      <w:r>
        <w:rPr>
          <w:spacing w:val="0"/>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We have no history operating natural gas storage facilities.</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We will be required to devote a great deal of capital, management time and other resources by entering into the natural gas storage business. The devotion of these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w:t>
      </w:r>
    </w:p>
    <w:p>
      <w:pPr>
        <w:pStyle w:val="TextBody"/>
        <w:rPr>
          <w:spacing w:val="0"/>
        </w:rPr>
      </w:pPr>
      <w:r>
        <w:rPr>
          <w:spacing w:val="0"/>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Federal, state or local regulatory measures could adversely affect our business.</w:t>
      </w:r>
    </w:p>
    <w:p>
      <w:pPr>
        <w:pStyle w:val="TextBody"/>
        <w:spacing w:before="0" w:after="0"/>
        <w:ind w:left="0" w:right="0" w:hanging="0"/>
        <w:jc w:val="left"/>
        <w:rPr/>
      </w:pPr>
      <w:r>
        <w:rPr/>
        <w:t> </w:t>
      </w:r>
    </w:p>
    <w:p>
      <w:pPr>
        <w:pStyle w:val="TextBody"/>
        <w:rPr>
          <w:rFonts w:ascii="Times New Roman" w:hAnsi="Times New Roman"/>
          <w:spacing w:val="0"/>
          <w:sz w:val="17"/>
        </w:rPr>
      </w:pPr>
      <w:r>
        <w:rPr>
          <w:rFonts w:ascii="Times New Roman" w:hAnsi="Times New Roman"/>
          <w:spacing w:val="0"/>
          <w:sz w:val="17"/>
        </w:rPr>
        <w:t>Our natural gas storage operations are subject to federal, state and local regulatory authorities. Specifically, our natural gas storage facilities and related assets are or will be subject to regulation by the Federal Energy Regulatory Commission or the Michigan Public Service Commission.  Our facilities essentially have market-based rate authority from such agencies. Any loss of market-based rate authority could have an adverse impact on our revenues associated with providing storage services.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In addition, failure to comply with applicable regulations under the Natural Gas Act of 1938, Natural Gas Policy Act of 1978, and certain other state laws could result in the imposition of administrative, civil and criminal remedies.</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Our gas storage business depends on third-party pipelines to transport natural gas.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We depend on third-party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affect the utilization and value of our storage services. Significant changes in the rates charged by the pipeline or the rates charged by other pipelines with which the interconnected pipelines compete could also have a material adverse effect on our storage revenues.</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We encounter competition from a variety of sources.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Expanding our business by constructing new storage facilities subjects us to construction risks; there is no guarantee that Pine Prairie will be developed in the expected time frame or at the expected cost or generate the expected returns.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 control, and requires the expenditure of significant amounts of capital. As we undertake these projects, they may be completed behind schedule or over the budgeted cost. Moreover, our revenues will not increase immediately upon the expenditure</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rPr>
          <w:rFonts w:ascii="Times New Roman" w:hAnsi="Times New Roman"/>
          <w:spacing w:val="0"/>
          <w:sz w:val="17"/>
        </w:rPr>
      </w:pPr>
      <w:r>
        <w:rPr>
          <w:rFonts w:ascii="Times New Roman" w:hAnsi="Times New Roman"/>
          <w:spacing w:val="0"/>
          <w:sz w:val="17"/>
        </w:rPr>
        <w:t>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We may not be able to retain existing customers or acquire new customers, which would reduce our revenues and limit our future profitability.</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Third parties obligations under storage agreements may be suspended in some circumstances.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our equipment or facilities or the equipment or facilities of third parties.</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The nature of our investment in natural gas storage assets and business could expose us to significant compliance costs and liabilities.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Our operations involving the storage of natural gas are subject to stringent federal, state and local laws and regulations governing the discharge of materials into the environment,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w:t>
      </w:r>
    </w:p>
    <w:p>
      <w:pPr>
        <w:pStyle w:val="TextBody"/>
        <w:rPr>
          <w:spacing w:val="0"/>
        </w:rPr>
      </w:pPr>
      <w:r>
        <w:rPr>
          <w:spacing w:val="0"/>
        </w:rPr>
        <w:t> </w:t>
      </w:r>
    </w:p>
    <w:p>
      <w:pPr>
        <w:pStyle w:val="TextBody"/>
        <w:spacing w:before="0" w:after="0"/>
        <w:ind w:left="0" w:right="0" w:hanging="0"/>
        <w:rPr>
          <w:rFonts w:ascii="Times New Roman" w:hAnsi="Times New Roman"/>
          <w:b/>
          <w:i/>
          <w:sz w:val="17"/>
        </w:rPr>
      </w:pPr>
      <w:r>
        <w:rPr>
          <w:rFonts w:ascii="Times New Roman" w:hAnsi="Times New Roman"/>
          <w:b/>
          <w:i/>
          <w:sz w:val="17"/>
        </w:rPr>
        <w:t>Joint venture structures can create operational difficulties.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Our natural gas storage operations are conducted through Plains/Vulcan, a joint venture between us and a subsidiary of Vulcan Capital, with each of us owning 50%.  The board of directors of Plains/Vulcan, which will include an equal number of representatives from us and Vulcan Capital, will be responsible for providing strategic direction and policy-making, and we will be responsible for the day-to-day operations of Plains/Vulcan.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w:t>
      </w:r>
    </w:p>
    <w:p>
      <w:pPr>
        <w:pStyle w:val="TextBody"/>
        <w:spacing w:before="0" w:after="0"/>
        <w:ind w:left="0" w:right="0" w:hanging="0"/>
        <w:rPr/>
      </w:pPr>
      <w:r>
        <w:rPr/>
        <w:t> </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3786</Words>
  <CharactersWithSpaces>24857</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