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November 5,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003" w:right="2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120" w:space="720"/>
            <w:col w:w="2800" w:space="720"/>
            <w:col w:w="3060"/>
          </w:cols>
          <w:pgMar w:left="240" w:top="1003" w:right="239" w:bottom="1440" w:gutter="0" w:footer="0" w:header="0"/>
          <w:type w:val="continuous"/>
        </w:sectPr>
      </w:pPr>
    </w:p>
    <w:p>
      <w:pPr>
        <w:ind w:left="144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1003"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60" w:hanging="752"/>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60" w:hanging="752"/>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80" w:firstLine="8"/>
        <w:spacing w:after="0" w:line="528" w:lineRule="auto"/>
        <w:tabs>
          <w:tab w:leader="none" w:pos="79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November 5, 2019, the Registrant issued a press release reporting its third-quarter 2019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EE"/>
        </w:rPr>
        <w:t>Exhibit 99.1 — Press Release dated November 5, 2019</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104 — Cover Page Interactive Data File (embedded within the Inline XBRL document)</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31"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680" w:type="dxa"/>
            <w:vAlign w:val="bottom"/>
            <w:gridSpan w:val="2"/>
          </w:tcPr>
          <w:p>
            <w:pPr>
              <w:ind w:left="1960"/>
              <w:spacing w:after="0"/>
              <w:rPr>
                <w:sz w:val="20"/>
                <w:szCs w:val="20"/>
                <w:color w:val="auto"/>
              </w:rPr>
            </w:pPr>
            <w:r>
              <w:rPr>
                <w:rFonts w:ascii="Arial" w:cs="Arial" w:eastAsia="Arial" w:hAnsi="Arial"/>
                <w:sz w:val="18"/>
                <w:szCs w:val="18"/>
                <w:color w:val="auto"/>
              </w:rPr>
              <w:t>PLAINS GP HOLDINGS, L.P.</w:t>
            </w:r>
          </w:p>
        </w:tc>
      </w:tr>
      <w:tr>
        <w:trPr>
          <w:trHeight w:val="432"/>
        </w:trPr>
        <w:tc>
          <w:tcPr>
            <w:tcW w:w="3740" w:type="dxa"/>
            <w:vAlign w:val="bottom"/>
          </w:tcPr>
          <w:p>
            <w:pPr>
              <w:spacing w:after="0"/>
              <w:rPr>
                <w:sz w:val="24"/>
                <w:szCs w:val="24"/>
                <w:color w:val="auto"/>
              </w:rPr>
            </w:pPr>
          </w:p>
        </w:tc>
        <w:tc>
          <w:tcPr>
            <w:tcW w:w="2380" w:type="dxa"/>
            <w:vAlign w:val="bottom"/>
          </w:tcPr>
          <w:p>
            <w:pPr>
              <w:ind w:left="1960"/>
              <w:spacing w:after="0"/>
              <w:rPr>
                <w:sz w:val="20"/>
                <w:szCs w:val="20"/>
                <w:color w:val="auto"/>
              </w:rPr>
            </w:pPr>
            <w:r>
              <w:rPr>
                <w:rFonts w:ascii="Arial" w:cs="Arial" w:eastAsia="Arial" w:hAnsi="Arial"/>
                <w:sz w:val="18"/>
                <w:szCs w:val="18"/>
                <w:color w:val="auto"/>
              </w:rPr>
              <w:t>By:</w:t>
            </w:r>
          </w:p>
        </w:tc>
        <w:tc>
          <w:tcPr>
            <w:tcW w:w="530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November 5, 2019</w:t>
            </w:r>
          </w:p>
        </w:tc>
        <w:tc>
          <w:tcPr>
            <w:tcW w:w="2380" w:type="dxa"/>
            <w:vAlign w:val="bottom"/>
          </w:tcPr>
          <w:p>
            <w:pPr>
              <w:ind w:left="1960"/>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 Swanson</w:t>
            </w:r>
          </w:p>
        </w:tc>
      </w:tr>
      <w:tr>
        <w:trPr>
          <w:trHeight w:val="195"/>
        </w:trPr>
        <w:tc>
          <w:tcPr>
            <w:tcW w:w="37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00" w:type="dxa"/>
            <w:vAlign w:val="bottom"/>
          </w:tcPr>
          <w:p>
            <w:pPr>
              <w:spacing w:after="0" w:line="195" w:lineRule="exact"/>
              <w:rPr>
                <w:sz w:val="20"/>
                <w:szCs w:val="20"/>
                <w:color w:val="auto"/>
              </w:rPr>
            </w:pPr>
            <w:r>
              <w:rPr>
                <w:rFonts w:ascii="Arial" w:cs="Arial" w:eastAsia="Arial" w:hAnsi="Arial"/>
                <w:sz w:val="18"/>
                <w:szCs w:val="18"/>
                <w:color w:val="auto"/>
              </w:rPr>
              <w:t>Name: Al Swanson</w:t>
            </w:r>
          </w:p>
        </w:tc>
      </w:tr>
      <w:tr>
        <w:trPr>
          <w:trHeight w:val="230"/>
        </w:trPr>
        <w:tc>
          <w:tcPr>
            <w:tcW w:w="37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Executive Vice President and Chief Financial Officer</w:t>
            </w:r>
          </w:p>
        </w:tc>
      </w:tr>
      <w:tr>
        <w:trPr>
          <w:trHeight w:val="432"/>
        </w:trPr>
        <w:tc>
          <w:tcPr>
            <w:tcW w:w="37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169545</wp:posOffset>
            </wp:positionV>
            <wp:extent cx="3816350"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163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Third-Quarter 2019 Results</w:t>
      </w:r>
    </w:p>
    <w:p>
      <w:pPr>
        <w:spacing w:after="0" w:line="200" w:lineRule="exact"/>
        <w:rPr>
          <w:sz w:val="20"/>
          <w:szCs w:val="20"/>
          <w:color w:val="auto"/>
        </w:rPr>
      </w:pPr>
    </w:p>
    <w:p>
      <w:pPr>
        <w:spacing w:after="0" w:line="24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(Houston — November 5, 2019) Plains All American Pipeline, L.P. (NYSE: PAA) and Plains GP Holdings (NYSE: PAGP) today reported third-quarter 2019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w:t>
      </w:r>
    </w:p>
    <w:p>
      <w:pPr>
        <w:spacing w:after="0" w:line="229"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3Q19: Delivered financial and operating results ahead of expectations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Full-year 2019: Increased guidance for 2019 Adjusted EBITDA and reduced guidance for 2019 capital expenditures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Executing accretive projects in a capital-efficient manner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Optimizing our existing systems and aligning with strategic partners throughout the industry value chain</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reported solid third-quarter results and increased Adjusted EBITDA guidance for the full year,” stated Willie Chiang, Chief Executive Officer of Plains All American Pipeline. “We ended the quarter with solid leverage metrics, more than $3 billion of committed liquidity and substantial distribution coverage. We remain focused on allocating capital in a disciplined manner. In the near-term we are positioned to grow our fee-based business in 2020 and complete multiple previously announced, highly contracted and capital efficient projects from late 2020 through 2021, which provide strong visibility for fee-based growth. Looking forward, we expect meaningful reductions in our growth capital program in 2021 and beyond as we prioritize further lowering our leverage and returning capital to investors.”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6"/>
          </w:tcPr>
          <w:p>
            <w:pPr>
              <w:jc w:val="center"/>
              <w:ind w:right="380"/>
              <w:spacing w:after="0"/>
              <w:rPr>
                <w:sz w:val="20"/>
                <w:szCs w:val="20"/>
                <w:color w:val="auto"/>
              </w:rPr>
            </w:pPr>
            <w:r>
              <w:rPr>
                <w:rFonts w:ascii="Arial" w:cs="Arial" w:eastAsia="Arial" w:hAnsi="Arial"/>
                <w:sz w:val="16"/>
                <w:szCs w:val="16"/>
                <w:b w:val="1"/>
                <w:bCs w:val="1"/>
                <w:color w:val="auto"/>
                <w:w w:val="93"/>
              </w:rPr>
              <w:t>Three Months Ended</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Nine Months Ended</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6"/>
          </w:tcPr>
          <w:p>
            <w:pPr>
              <w:jc w:val="center"/>
              <w:ind w:right="380"/>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r>
      <w:tr>
        <w:trPr>
          <w:trHeight w:val="213"/>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GAAP Results</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Borders>
              <w:bottom w:val="single" w:sz="8" w:color="CCEEFF"/>
            </w:tcBorders>
          </w:tcPr>
          <w:p>
            <w:pPr>
              <w:spacing w:after="0"/>
              <w:rPr>
                <w:sz w:val="18"/>
                <w:szCs w:val="18"/>
                <w:color w:val="auto"/>
              </w:rPr>
            </w:pPr>
          </w:p>
        </w:tc>
      </w:tr>
      <w:tr>
        <w:trPr>
          <w:trHeight w:val="199"/>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PAA</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320" w:type="dxa"/>
            <w:vAlign w:val="bottom"/>
            <w:tcBorders>
              <w:right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0"/>
        </w:trPr>
        <w:tc>
          <w:tcPr>
            <w:tcW w:w="4580" w:type="dxa"/>
            <w:vAlign w:val="bottom"/>
            <w:gridSpan w:val="2"/>
          </w:tcPr>
          <w:p>
            <w:pPr>
              <w:spacing w:after="0"/>
              <w:rPr>
                <w:sz w:val="20"/>
                <w:szCs w:val="20"/>
                <w:color w:val="auto"/>
              </w:rPr>
            </w:pPr>
            <w:r>
              <w:rPr>
                <w:rFonts w:ascii="Arial" w:cs="Arial" w:eastAsia="Arial" w:hAnsi="Arial"/>
                <w:sz w:val="16"/>
                <w:szCs w:val="16"/>
                <w:color w:val="auto"/>
              </w:rPr>
              <w:t>Diluted net income per common unit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0.55</w:t>
            </w:r>
          </w:p>
        </w:tc>
        <w:tc>
          <w:tcPr>
            <w:tcW w:w="30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0.87</w:t>
            </w:r>
          </w:p>
        </w:tc>
        <w:tc>
          <w:tcPr>
            <w:tcW w:w="20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62"/>
              <w:spacing w:after="0"/>
              <w:rPr>
                <w:sz w:val="20"/>
                <w:szCs w:val="20"/>
                <w:color w:val="auto"/>
              </w:rPr>
            </w:pPr>
            <w:r>
              <w:rPr>
                <w:rFonts w:ascii="Arial" w:cs="Arial" w:eastAsia="Arial" w:hAnsi="Arial"/>
                <w:sz w:val="16"/>
                <w:szCs w:val="16"/>
                <w:color w:val="auto"/>
              </w:rPr>
              <w:t>(37)%</w:t>
            </w:r>
          </w:p>
        </w:tc>
        <w:tc>
          <w:tcPr>
            <w:tcW w:w="2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2.28</w:t>
            </w:r>
          </w:p>
        </w:tc>
        <w:tc>
          <w:tcPr>
            <w:tcW w:w="2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1.30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75%</w:t>
            </w:r>
          </w:p>
        </w:tc>
      </w:tr>
      <w:tr>
        <w:trPr>
          <w:trHeight w:val="263"/>
        </w:trPr>
        <w:tc>
          <w:tcPr>
            <w:tcW w:w="4580" w:type="dxa"/>
            <w:vAlign w:val="bottom"/>
            <w:gridSpan w:val="2"/>
            <w:shd w:val="clear" w:color="auto" w:fill="CCEEFF"/>
          </w:tcPr>
          <w:p>
            <w:pPr>
              <w:spacing w:after="0" w:line="263" w:lineRule="exact"/>
              <w:rPr>
                <w:sz w:val="20"/>
                <w:szCs w:val="20"/>
                <w:color w:val="auto"/>
              </w:rPr>
            </w:pPr>
            <w:r>
              <w:rPr>
                <w:rFonts w:ascii="Arial" w:cs="Arial" w:eastAsia="Arial" w:hAnsi="Arial"/>
                <w:sz w:val="16"/>
                <w:szCs w:val="16"/>
                <w:color w:val="auto"/>
              </w:rPr>
              <w:t xml:space="preserve">Diluted weighted average common units outstanding </w:t>
            </w:r>
            <w:r>
              <w:rPr>
                <w:rFonts w:ascii="Arial" w:cs="Arial" w:eastAsia="Arial" w:hAnsi="Arial"/>
                <w:sz w:val="27"/>
                <w:szCs w:val="27"/>
                <w:color w:val="auto"/>
                <w:vertAlign w:val="superscript"/>
              </w:rPr>
              <w:t>(1)</w:t>
            </w:r>
          </w:p>
        </w:tc>
        <w:tc>
          <w:tcPr>
            <w:tcW w:w="1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200" w:type="dxa"/>
            <w:vAlign w:val="bottom"/>
            <w:shd w:val="clear" w:color="auto" w:fill="CCEEFF"/>
          </w:tcPr>
          <w:p>
            <w:pPr>
              <w:spacing w:after="0"/>
              <w:rPr>
                <w:sz w:val="22"/>
                <w:szCs w:val="22"/>
                <w:color w:val="auto"/>
              </w:rPr>
            </w:pPr>
          </w:p>
        </w:tc>
        <w:tc>
          <w:tcPr>
            <w:tcW w:w="1240" w:type="dxa"/>
            <w:vAlign w:val="bottom"/>
            <w:tcBorders>
              <w:right w:val="single" w:sz="8" w:color="auto"/>
            </w:tcBorders>
            <w:gridSpan w:val="2"/>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196"/>
        </w:trPr>
        <w:tc>
          <w:tcPr>
            <w:tcW w:w="4580" w:type="dxa"/>
            <w:vAlign w:val="bottom"/>
            <w:gridSpan w:val="2"/>
          </w:tcPr>
          <w:p>
            <w:pPr>
              <w:spacing w:after="0"/>
              <w:rPr>
                <w:sz w:val="20"/>
                <w:szCs w:val="20"/>
                <w:color w:val="auto"/>
              </w:rPr>
            </w:pPr>
            <w:r>
              <w:rPr>
                <w:rFonts w:ascii="Arial" w:cs="Arial" w:eastAsia="Arial" w:hAnsi="Arial"/>
                <w:sz w:val="16"/>
                <w:szCs w:val="16"/>
                <w:color w:val="auto"/>
              </w:rPr>
              <w:t>Distribution per common unit declared for the period</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2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320" w:type="dxa"/>
            <w:vAlign w:val="bottom"/>
            <w:tcBorders>
              <w:right w:val="single" w:sz="8" w:color="auto"/>
            </w:tcBorders>
          </w:tcPr>
          <w:p>
            <w:pPr>
              <w:jc w:val="right"/>
              <w:ind w:right="122"/>
              <w:spacing w:after="0"/>
              <w:rPr>
                <w:sz w:val="20"/>
                <w:szCs w:val="20"/>
                <w:color w:val="auto"/>
              </w:rPr>
            </w:pPr>
            <w:r>
              <w:rPr>
                <w:rFonts w:ascii="Arial" w:cs="Arial" w:eastAsia="Arial" w:hAnsi="Arial"/>
                <w:sz w:val="15"/>
                <w:szCs w:val="15"/>
                <w:color w:val="auto"/>
                <w:w w:val="74"/>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21" w:lineRule="exact"/>
        <w:rPr>
          <w:sz w:val="20"/>
          <w:szCs w:val="20"/>
          <w:color w:val="auto"/>
        </w:rPr>
      </w:pPr>
    </w:p>
    <w:p>
      <w:pPr>
        <w:ind w:left="340" w:right="80" w:hanging="332"/>
        <w:spacing w:after="0" w:line="232" w:lineRule="auto"/>
        <w:tabs>
          <w:tab w:leader="none" w:pos="340" w:val="left"/>
        </w:tabs>
        <w:numPr>
          <w:ilvl w:val="0"/>
          <w:numId w:val="3"/>
        </w:numPr>
        <w:rPr>
          <w:rFonts w:ascii="Arial" w:cs="Arial" w:eastAsia="Arial" w:hAnsi="Arial"/>
          <w:sz w:val="25"/>
          <w:szCs w:val="25"/>
          <w:color w:val="auto"/>
          <w:vertAlign w:val="superscript"/>
        </w:rPr>
      </w:pPr>
      <w:r>
        <w:rPr>
          <w:rFonts w:ascii="Arial" w:cs="Arial" w:eastAsia="Arial" w:hAnsi="Arial"/>
          <w:sz w:val="15"/>
          <w:szCs w:val="15"/>
          <w:color w:val="auto"/>
        </w:rPr>
        <w:t>For the three and nine months ended September 30, 2019 and the three months ended September 30, 2018, includes all potentially dilutive securities outstanding (our Series A preferred units and equity-indexed compensation awards) during the period. Our Series A preferred units were not dilutive for the nine months ended September 30, 2018. See the “Computation of Basic and Diluted Net Income Per Common Unit” table attached hereto for additional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5"/>
          </w:tcPr>
          <w:p>
            <w:pPr>
              <w:ind w:left="300"/>
              <w:spacing w:after="0"/>
              <w:rPr>
                <w:sz w:val="20"/>
                <w:szCs w:val="20"/>
                <w:color w:val="auto"/>
              </w:rPr>
            </w:pPr>
            <w:r>
              <w:rPr>
                <w:rFonts w:ascii="Arial" w:cs="Arial" w:eastAsia="Arial" w:hAnsi="Arial"/>
                <w:sz w:val="16"/>
                <w:szCs w:val="16"/>
                <w:b w:val="1"/>
                <w:bCs w:val="1"/>
                <w:color w:val="auto"/>
                <w:w w:val="93"/>
              </w:rPr>
              <w:t>Three Months Ended</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Nine Months Ended</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 xml:space="preserve">Non-GAAP Results </w:t>
            </w:r>
            <w:r>
              <w:rPr>
                <w:rFonts w:ascii="Arial" w:cs="Arial" w:eastAsia="Arial" w:hAnsi="Arial"/>
                <w:sz w:val="27"/>
                <w:szCs w:val="27"/>
                <w:b w:val="1"/>
                <w:bCs w:val="1"/>
                <w:i w:val="1"/>
                <w:iCs w:val="1"/>
                <w:color w:val="auto"/>
                <w:vertAlign w:val="superscript"/>
              </w:rPr>
              <w:t>(1)</w:t>
            </w:r>
          </w:p>
        </w:tc>
        <w:tc>
          <w:tcPr>
            <w:tcW w:w="120" w:type="dxa"/>
            <w:vAlign w:val="bottom"/>
            <w:vMerge w:val="restart"/>
          </w:tcPr>
          <w:p>
            <w:pPr>
              <w:spacing w:after="0"/>
              <w:rPr>
                <w:sz w:val="18"/>
                <w:szCs w:val="18"/>
                <w:color w:val="auto"/>
              </w:rPr>
            </w:pPr>
          </w:p>
        </w:tc>
        <w:tc>
          <w:tcPr>
            <w:tcW w:w="1800" w:type="dxa"/>
            <w:vAlign w:val="bottom"/>
            <w:gridSpan w:val="5"/>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12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4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6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b w:val="1"/>
                <w:bCs w:val="1"/>
                <w:color w:val="auto"/>
                <w:w w:val="84"/>
              </w:rPr>
              <w:t>2019</w:t>
            </w: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w w:val="91"/>
              </w:rPr>
              <w:t>Change</w:t>
            </w: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shd w:val="clear" w:color="auto" w:fill="CCEEFF"/>
          </w:tcPr>
          <w:p>
            <w:pPr>
              <w:spacing w:after="0" w:line="236" w:lineRule="exact"/>
              <w:rPr>
                <w:sz w:val="20"/>
                <w:szCs w:val="20"/>
                <w:color w:val="auto"/>
              </w:rPr>
            </w:pPr>
            <w:r>
              <w:rPr>
                <w:rFonts w:ascii="Arial" w:cs="Arial" w:eastAsia="Arial" w:hAnsi="Arial"/>
                <w:sz w:val="16"/>
                <w:szCs w:val="16"/>
                <w:color w:val="auto"/>
              </w:rPr>
              <w:t xml:space="preserve">Adjusted net income attributable to PAA </w:t>
            </w:r>
            <w:r>
              <w:rPr>
                <w:rFonts w:ascii="Arial" w:cs="Arial" w:eastAsia="Arial" w:hAnsi="Arial"/>
                <w:sz w:val="27"/>
                <w:szCs w:val="27"/>
                <w:color w:val="auto"/>
                <w:vertAlign w:val="superscript"/>
              </w:rPr>
              <w:t>(2)</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82"/>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430</w:t>
            </w:r>
          </w:p>
        </w:tc>
        <w:tc>
          <w:tcPr>
            <w:tcW w:w="74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7"/>
              </w:rPr>
              <w:t>363</w:t>
            </w:r>
          </w:p>
        </w:tc>
        <w:tc>
          <w:tcPr>
            <w:tcW w:w="740" w:type="dxa"/>
            <w:vAlign w:val="bottom"/>
            <w:shd w:val="clear" w:color="auto" w:fill="CCEEFF"/>
          </w:tcPr>
          <w:p>
            <w:pPr>
              <w:spacing w:after="0"/>
              <w:rPr>
                <w:sz w:val="20"/>
                <w:szCs w:val="20"/>
                <w:color w:val="auto"/>
              </w:rPr>
            </w:pPr>
          </w:p>
        </w:tc>
        <w:tc>
          <w:tcPr>
            <w:tcW w:w="4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18%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916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43"/>
        </w:trPr>
        <w:tc>
          <w:tcPr>
            <w:tcW w:w="4580" w:type="dxa"/>
            <w:vAlign w:val="bottom"/>
            <w:gridSpan w:val="2"/>
          </w:tcPr>
          <w:p>
            <w:pPr>
              <w:spacing w:after="0" w:line="242" w:lineRule="exact"/>
              <w:rPr>
                <w:sz w:val="20"/>
                <w:szCs w:val="20"/>
                <w:color w:val="auto"/>
              </w:rPr>
            </w:pPr>
            <w:r>
              <w:rPr>
                <w:rFonts w:ascii="Arial" w:cs="Arial" w:eastAsia="Arial" w:hAnsi="Arial"/>
                <w:sz w:val="16"/>
                <w:szCs w:val="16"/>
                <w:color w:val="auto"/>
              </w:rPr>
              <w:t xml:space="preserve">Diluted adjusted net income per common unit </w:t>
            </w:r>
            <w:r>
              <w:rPr>
                <w:rFonts w:ascii="Arial" w:cs="Arial" w:eastAsia="Arial" w:hAnsi="Arial"/>
                <w:sz w:val="27"/>
                <w:szCs w:val="27"/>
                <w:color w:val="auto"/>
                <w:vertAlign w:val="superscript"/>
              </w:rPr>
              <w:t>(2)</w:t>
            </w:r>
          </w:p>
        </w:tc>
        <w:tc>
          <w:tcPr>
            <w:tcW w:w="640" w:type="dxa"/>
            <w:vAlign w:val="bottom"/>
          </w:tcPr>
          <w:p>
            <w:pPr>
              <w:jc w:val="right"/>
              <w:ind w:right="482"/>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0.52</w:t>
            </w:r>
          </w:p>
        </w:tc>
        <w:tc>
          <w:tcPr>
            <w:tcW w:w="74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w w:val="83"/>
              </w:rPr>
              <w:t>0.43</w:t>
            </w:r>
          </w:p>
        </w:tc>
        <w:tc>
          <w:tcPr>
            <w:tcW w:w="740" w:type="dxa"/>
            <w:vAlign w:val="bottom"/>
          </w:tcPr>
          <w:p>
            <w:pPr>
              <w:spacing w:after="0"/>
              <w:rPr>
                <w:sz w:val="21"/>
                <w:szCs w:val="21"/>
                <w:color w:val="auto"/>
              </w:rPr>
            </w:pPr>
          </w:p>
        </w:tc>
        <w:tc>
          <w:tcPr>
            <w:tcW w:w="4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w w:val="87"/>
              </w:rPr>
              <w:t>21%</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1.88</w:t>
            </w:r>
          </w:p>
        </w:tc>
        <w:tc>
          <w:tcPr>
            <w:tcW w:w="22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1.05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640" w:type="dxa"/>
            <w:vAlign w:val="bottom"/>
            <w:shd w:val="clear" w:color="auto" w:fill="CCEEFF"/>
          </w:tcPr>
          <w:p>
            <w:pPr>
              <w:jc w:val="right"/>
              <w:ind w:right="482"/>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731</w:t>
            </w:r>
          </w:p>
        </w:tc>
        <w:tc>
          <w:tcPr>
            <w:tcW w:w="74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7"/>
              </w:rPr>
              <w:t>636</w:t>
            </w:r>
          </w:p>
        </w:tc>
        <w:tc>
          <w:tcPr>
            <w:tcW w:w="740" w:type="dxa"/>
            <w:vAlign w:val="bottom"/>
            <w:shd w:val="clear" w:color="auto" w:fill="CCEEFF"/>
          </w:tcPr>
          <w:p>
            <w:pPr>
              <w:spacing w:after="0"/>
              <w:rPr>
                <w:sz w:val="18"/>
                <w:szCs w:val="18"/>
                <w:color w:val="auto"/>
              </w:rPr>
            </w:pPr>
          </w:p>
        </w:tc>
        <w:tc>
          <w:tcPr>
            <w:tcW w:w="4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15%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6"/>
                <w:szCs w:val="16"/>
                <w:color w:val="auto"/>
              </w:rPr>
              <w:t>Implied DCF per common unit</w:t>
            </w:r>
          </w:p>
        </w:tc>
        <w:tc>
          <w:tcPr>
            <w:tcW w:w="640" w:type="dxa"/>
            <w:vAlign w:val="bottom"/>
          </w:tcPr>
          <w:p>
            <w:pPr>
              <w:jc w:val="right"/>
              <w:ind w:right="482"/>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0.64</w:t>
            </w:r>
          </w:p>
        </w:tc>
        <w:tc>
          <w:tcPr>
            <w:tcW w:w="74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w w:val="83"/>
              </w:rPr>
              <w:t>0.55</w:t>
            </w:r>
          </w:p>
        </w:tc>
        <w:tc>
          <w:tcPr>
            <w:tcW w:w="740" w:type="dxa"/>
            <w:vAlign w:val="bottom"/>
          </w:tcPr>
          <w:p>
            <w:pPr>
              <w:spacing w:after="0"/>
              <w:rPr>
                <w:sz w:val="18"/>
                <w:szCs w:val="18"/>
                <w:color w:val="auto"/>
              </w:rPr>
            </w:pPr>
          </w:p>
        </w:tc>
        <w:tc>
          <w:tcPr>
            <w:tcW w:w="4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w w:val="87"/>
              </w:rPr>
              <w:t>16%</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2.27</w:t>
            </w:r>
          </w:p>
        </w:tc>
        <w:tc>
          <w:tcPr>
            <w:tcW w:w="2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1.52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5" w:lineRule="exact"/>
        <w:rPr>
          <w:sz w:val="20"/>
          <w:szCs w:val="20"/>
          <w:color w:val="auto"/>
        </w:rPr>
      </w:pPr>
    </w:p>
    <w:p>
      <w:pPr>
        <w:ind w:left="340" w:right="20" w:hanging="332"/>
        <w:spacing w:after="0" w:line="254" w:lineRule="auto"/>
        <w:tabs>
          <w:tab w:leader="none" w:pos="340"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Implied DCF) and their reconciliation to the most directly comparable measures as reported in accordance with GAAP.</w:t>
      </w:r>
    </w:p>
    <w:p>
      <w:pPr>
        <w:spacing w:after="0" w:line="203" w:lineRule="exact"/>
        <w:rPr>
          <w:rFonts w:ascii="Arial" w:cs="Arial" w:eastAsia="Arial" w:hAnsi="Arial"/>
          <w:sz w:val="23"/>
          <w:szCs w:val="23"/>
          <w:color w:val="auto"/>
          <w:vertAlign w:val="superscript"/>
        </w:rPr>
      </w:pPr>
    </w:p>
    <w:p>
      <w:pPr>
        <w:ind w:left="340" w:right="160" w:hanging="332"/>
        <w:spacing w:after="0" w:line="216" w:lineRule="auto"/>
        <w:tabs>
          <w:tab w:leader="none" w:pos="340"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During the fourth quarter of 2018, we began classifying net gains and losses on asset sales and asset impairments as a selected item impacting comparability in the calculation of adjusted net income. Prior period amounts have been recast to reflect this change. See the “Selected Items Impacting Comparability” table attached hereto for additional information.</w:t>
      </w:r>
    </w:p>
    <w:p>
      <w:pPr>
        <w:spacing w:after="0" w:line="208" w:lineRule="exact"/>
        <w:rPr>
          <w:rFonts w:ascii="Arial" w:cs="Arial" w:eastAsia="Arial" w:hAnsi="Arial"/>
          <w:sz w:val="27"/>
          <w:szCs w:val="27"/>
          <w:color w:val="auto"/>
          <w:vertAlign w:val="superscript"/>
        </w:rPr>
      </w:pPr>
    </w:p>
    <w:p>
      <w:pPr>
        <w:ind w:left="5520" w:hanging="96"/>
        <w:spacing w:after="0"/>
        <w:tabs>
          <w:tab w:leader="none" w:pos="5520" w:val="left"/>
        </w:tabs>
        <w:numPr>
          <w:ilvl w:val="1"/>
          <w:numId w:val="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third quarter and first nine months of 2019 and 2018 is presented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b w:val="1"/>
                <w:bCs w:val="1"/>
                <w:color w:val="auto"/>
              </w:rPr>
              <w:t>Segment Adjusted EBITDA</w:t>
            </w:r>
          </w:p>
        </w:tc>
        <w:tc>
          <w:tcPr>
            <w:tcW w:w="10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0"/>
              </w:rPr>
              <w:t>Supply and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5"/>
          </w:tcPr>
          <w:p>
            <w:pPr>
              <w:ind w:left="20"/>
              <w:spacing w:after="0"/>
              <w:rPr>
                <w:sz w:val="20"/>
                <w:szCs w:val="20"/>
                <w:color w:val="auto"/>
              </w:rPr>
            </w:pPr>
            <w:r>
              <w:rPr>
                <w:rFonts w:ascii="Arial" w:cs="Arial" w:eastAsia="Arial" w:hAnsi="Arial"/>
                <w:sz w:val="18"/>
                <w:szCs w:val="18"/>
                <w:b w:val="1"/>
                <w:bCs w:val="1"/>
                <w:color w:val="auto"/>
              </w:rPr>
              <w:t>Transportation</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3"/>
              </w:rPr>
              <w:t>Facilities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5"/>
              </w:rPr>
              <w:t>Logistics</w:t>
            </w:r>
          </w:p>
        </w:tc>
        <w:tc>
          <w:tcPr>
            <w:tcW w:w="0" w:type="dxa"/>
            <w:vAlign w:val="bottom"/>
          </w:tcPr>
          <w:p>
            <w:pPr>
              <w:spacing w:after="0"/>
              <w:rPr>
                <w:sz w:val="1"/>
                <w:szCs w:val="1"/>
                <w:color w:val="auto"/>
              </w:rPr>
            </w:pPr>
          </w:p>
        </w:tc>
      </w:tr>
      <w:tr>
        <w:trPr>
          <w:trHeight w:val="223"/>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September 30, 2019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Three Months Ended September 30, 2018</w:t>
            </w:r>
          </w:p>
        </w:tc>
        <w:tc>
          <w:tcPr>
            <w:tcW w:w="18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w:t>
            </w:r>
          </w:p>
        </w:tc>
        <w:tc>
          <w:tcPr>
            <w:tcW w:w="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gridSpan w:val="2"/>
          </w:tcPr>
          <w:p>
            <w:pPr>
              <w:jc w:val="right"/>
              <w:ind w:right="45"/>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173</w:t>
            </w:r>
          </w:p>
        </w:tc>
        <w:tc>
          <w:tcPr>
            <w:tcW w:w="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w:t>
            </w:r>
          </w:p>
        </w:tc>
        <w:tc>
          <w:tcPr>
            <w:tcW w:w="6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8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b w:val="1"/>
                <w:bCs w:val="1"/>
                <w:i w:val="1"/>
                <w:iCs w:val="1"/>
                <w:color w:val="auto"/>
              </w:rPr>
              <w:t>Percentage change in Segment Adjusted EBITDA versus 2018 period</w:t>
            </w: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19</w:t>
            </w:r>
          </w:p>
        </w:tc>
        <w:tc>
          <w:tcPr>
            <w:tcW w:w="220" w:type="dxa"/>
            <w:vAlign w:val="bottom"/>
            <w:tcBorders>
              <w:bottom w:val="single" w:sz="8" w:color="CCEEFF"/>
            </w:tcBorders>
            <w:gridSpan w:val="2"/>
            <w:shd w:val="clear" w:color="auto" w:fill="CCEEFF"/>
          </w:tcPr>
          <w:p>
            <w:pPr>
              <w:jc w:val="right"/>
              <w:spacing w:after="0" w:line="190" w:lineRule="exact"/>
              <w:rPr>
                <w:sz w:val="20"/>
                <w:szCs w:val="20"/>
                <w:color w:val="auto"/>
              </w:rPr>
            </w:pPr>
            <w:r>
              <w:rPr>
                <w:rFonts w:ascii="Arial" w:cs="Arial" w:eastAsia="Arial" w:hAnsi="Arial"/>
                <w:sz w:val="18"/>
                <w:szCs w:val="18"/>
                <w:b w:val="1"/>
                <w:bCs w:val="1"/>
                <w:i w:val="1"/>
                <w:iCs w:val="1"/>
                <w:color w:val="auto"/>
                <w:w w:val="74"/>
              </w:rPr>
              <w:t>%</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w:t>
            </w:r>
          </w:p>
        </w:tc>
        <w:tc>
          <w:tcPr>
            <w:tcW w:w="240" w:type="dxa"/>
            <w:vAlign w:val="bottom"/>
            <w:tcBorders>
              <w:bottom w:val="single" w:sz="8" w:color="CCEEFF"/>
            </w:tcBorders>
            <w:gridSpan w:val="2"/>
            <w:shd w:val="clear" w:color="auto" w:fill="CCEEFF"/>
          </w:tcPr>
          <w:p>
            <w:pPr>
              <w:jc w:val="right"/>
              <w:spacing w:after="0" w:line="190" w:lineRule="exact"/>
              <w:rPr>
                <w:sz w:val="20"/>
                <w:szCs w:val="20"/>
                <w:color w:val="auto"/>
              </w:rPr>
            </w:pPr>
            <w:r>
              <w:rPr>
                <w:rFonts w:ascii="Arial" w:cs="Arial" w:eastAsia="Arial" w:hAnsi="Arial"/>
                <w:sz w:val="18"/>
                <w:szCs w:val="18"/>
                <w:b w:val="1"/>
                <w:bCs w:val="1"/>
                <w:i w:val="1"/>
                <w:iCs w:val="1"/>
                <w:color w:val="auto"/>
                <w:w w:val="87"/>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23</w:t>
            </w:r>
          </w:p>
        </w:tc>
        <w:tc>
          <w:tcPr>
            <w:tcW w:w="160" w:type="dxa"/>
            <w:vAlign w:val="bottom"/>
            <w:tcBorders>
              <w:bottom w:val="single" w:sz="8" w:color="CCEEFF"/>
            </w:tcBorders>
            <w:gridSpan w:val="3"/>
            <w:shd w:val="clear" w:color="auto" w:fill="CCEEFF"/>
          </w:tcPr>
          <w:p>
            <w:pPr>
              <w:jc w:val="right"/>
              <w:ind w:right="20"/>
              <w:spacing w:after="0" w:line="190" w:lineRule="exact"/>
              <w:rPr>
                <w:sz w:val="20"/>
                <w:szCs w:val="20"/>
                <w:color w:val="auto"/>
              </w:rPr>
            </w:pPr>
            <w:r>
              <w:rPr>
                <w:rFonts w:ascii="Arial" w:cs="Arial" w:eastAsia="Arial" w:hAnsi="Arial"/>
                <w:sz w:val="18"/>
                <w:szCs w:val="18"/>
                <w:b w:val="1"/>
                <w:bCs w:val="1"/>
                <w:i w:val="1"/>
                <w:iCs w:val="1"/>
                <w:color w:val="auto"/>
                <w:w w:val="74"/>
              </w:rPr>
              <w:t>%</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line="195" w:lineRule="exact"/>
              <w:rPr>
                <w:sz w:val="20"/>
                <w:szCs w:val="20"/>
                <w:color w:val="auto"/>
              </w:rPr>
            </w:pPr>
            <w:r>
              <w:rPr>
                <w:rFonts w:ascii="Arial" w:cs="Arial" w:eastAsia="Arial" w:hAnsi="Arial"/>
                <w:sz w:val="18"/>
                <w:szCs w:val="18"/>
                <w:b w:val="1"/>
                <w:bCs w:val="1"/>
                <w:i w:val="1"/>
                <w:iCs w:val="1"/>
                <w:color w:val="auto"/>
                <w:w w:val="89"/>
              </w:rPr>
              <w:t>Percentage change in Segment Adjusted EBITDA versus 2018 period further adjusted for</w:t>
            </w: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8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68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impact of divested assets</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rPr>
              <w:t>27%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3"/>
          </w:tcPr>
          <w:p>
            <w:pPr>
              <w:jc w:val="right"/>
              <w:ind w:right="150"/>
              <w:spacing w:after="0"/>
              <w:rPr>
                <w:sz w:val="20"/>
                <w:szCs w:val="20"/>
                <w:color w:val="auto"/>
              </w:rPr>
            </w:pPr>
            <w:r>
              <w:rPr>
                <w:rFonts w:ascii="Arial" w:cs="Arial" w:eastAsia="Arial" w:hAnsi="Arial"/>
                <w:sz w:val="18"/>
                <w:szCs w:val="18"/>
                <w:b w:val="1"/>
                <w:bCs w:val="1"/>
                <w:i w:val="1"/>
                <w:iCs w:val="1"/>
                <w:color w:val="auto"/>
              </w:rPr>
              <w:t>N/A</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4"/>
          </w:tcPr>
          <w:p>
            <w:pPr>
              <w:jc w:val="right"/>
              <w:ind w:right="160"/>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920" w:type="dxa"/>
            <w:vAlign w:val="bottom"/>
            <w:gridSpan w:val="16"/>
          </w:tcPr>
          <w:p>
            <w:pPr>
              <w:jc w:val="right"/>
              <w:ind w:right="1180"/>
              <w:spacing w:after="0"/>
              <w:rPr>
                <w:sz w:val="20"/>
                <w:szCs w:val="20"/>
                <w:color w:val="auto"/>
              </w:rPr>
            </w:pPr>
            <w:r>
              <w:rPr>
                <w:rFonts w:ascii="Arial" w:cs="Arial" w:eastAsia="Arial" w:hAnsi="Arial"/>
                <w:sz w:val="18"/>
                <w:szCs w:val="18"/>
                <w:b w:val="1"/>
                <w:bCs w:val="1"/>
                <w:color w:val="auto"/>
              </w:rPr>
              <w:t>Segment Adjusted EBITDA</w:t>
            </w:r>
          </w:p>
        </w:tc>
        <w:tc>
          <w:tcPr>
            <w:tcW w:w="0" w:type="dxa"/>
            <w:vAlign w:val="bottom"/>
          </w:tcPr>
          <w:p>
            <w:pPr>
              <w:spacing w:after="0"/>
              <w:rPr>
                <w:sz w:val="1"/>
                <w:szCs w:val="1"/>
                <w:color w:val="auto"/>
              </w:rPr>
            </w:pPr>
          </w:p>
        </w:tc>
      </w:tr>
      <w:tr>
        <w:trPr>
          <w:trHeight w:val="191"/>
        </w:trPr>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Supply and</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2"/>
              </w:rPr>
              <w:t>Transportation</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Facilities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5"/>
              </w:rPr>
              <w:t>Logistics</w:t>
            </w:r>
          </w:p>
        </w:tc>
        <w:tc>
          <w:tcPr>
            <w:tcW w:w="0" w:type="dxa"/>
            <w:vAlign w:val="bottom"/>
          </w:tcPr>
          <w:p>
            <w:pPr>
              <w:spacing w:after="0"/>
              <w:rPr>
                <w:sz w:val="1"/>
                <w:szCs w:val="1"/>
                <w:color w:val="auto"/>
              </w:rPr>
            </w:pPr>
          </w:p>
        </w:tc>
      </w:tr>
      <w:tr>
        <w:trPr>
          <w:trHeight w:val="223"/>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Nine Months Ended September 30, 2019</w:t>
            </w:r>
          </w:p>
        </w:tc>
        <w:tc>
          <w:tcPr>
            <w:tcW w:w="2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Nine Months Ended September 30, 2018</w:t>
            </w:r>
          </w:p>
        </w:tc>
        <w:tc>
          <w:tcPr>
            <w:tcW w:w="220" w:type="dxa"/>
            <w:vAlign w:val="bottom"/>
            <w:gridSpan w:val="2"/>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gridSpan w:val="2"/>
            <w:vMerge w:val="continue"/>
          </w:tcPr>
          <w:p>
            <w:pPr>
              <w:spacing w:after="0"/>
              <w:rPr>
                <w:sz w:val="20"/>
                <w:szCs w:val="20"/>
                <w:color w:val="auto"/>
              </w:rPr>
            </w:pPr>
          </w:p>
        </w:tc>
        <w:tc>
          <w:tcPr>
            <w:tcW w:w="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1,083</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gridSpan w:val="2"/>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530</w:t>
            </w:r>
          </w:p>
        </w:tc>
        <w:tc>
          <w:tcPr>
            <w:tcW w:w="18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gridSpan w:val="2"/>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120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8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b w:val="1"/>
                <w:bCs w:val="1"/>
                <w:i w:val="1"/>
                <w:iCs w:val="1"/>
                <w:color w:val="auto"/>
              </w:rPr>
              <w:t>Percentage change in Segment Adjusted EBITDA versus 2018 period</w:t>
            </w: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17</w:t>
            </w:r>
          </w:p>
        </w:tc>
        <w:tc>
          <w:tcPr>
            <w:tcW w:w="18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b w:val="1"/>
                <w:bCs w:val="1"/>
                <w:i w:val="1"/>
                <w:iCs w:val="1"/>
                <w:color w:val="auto"/>
                <w:w w:val="87"/>
              </w:rPr>
              <w:t>%</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w:t>
            </w:r>
          </w:p>
        </w:tc>
        <w:tc>
          <w:tcPr>
            <w:tcW w:w="18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b w:val="1"/>
                <w:bCs w:val="1"/>
                <w:i w:val="1"/>
                <w:iCs w:val="1"/>
                <w:color w:val="auto"/>
                <w:w w:val="74"/>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line="195" w:lineRule="exact"/>
              <w:rPr>
                <w:sz w:val="20"/>
                <w:szCs w:val="20"/>
                <w:color w:val="auto"/>
              </w:rPr>
            </w:pPr>
            <w:r>
              <w:rPr>
                <w:rFonts w:ascii="Arial" w:cs="Arial" w:eastAsia="Arial" w:hAnsi="Arial"/>
                <w:sz w:val="18"/>
                <w:szCs w:val="18"/>
                <w:b w:val="1"/>
                <w:bCs w:val="1"/>
                <w:i w:val="1"/>
                <w:iCs w:val="1"/>
                <w:color w:val="auto"/>
                <w:w w:val="89"/>
              </w:rPr>
              <w:t>Percentage change in Segment Adjusted EBITDA versus 2018 period further adjusted for</w:t>
            </w: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8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68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impact of divested assets</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rPr>
              <w:t>25%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200" w:hanging="192"/>
        <w:spacing w:after="0"/>
        <w:tabs>
          <w:tab w:leader="none" w:pos="20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Indicates that variance as a percentage is not meaningful.</w:t>
      </w:r>
    </w:p>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Third-quarter 2019 Transportation Segment Adjusted EBITDA increased by 19% over comparable 2018 results. This increase was primarily driven by increased volume on our Permian Basin systems, which includes start-up of the Sunrise II and Cactus II pipeline systems in the fourth quarter of 2018 and third quarter of 2019, respectively. These favorable results were partially offset by our sale of an interest in the BridgeTex pipeline at the end of the third quarter of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Third-quarter 2019 Facilities Segment Adjusted EBITDA was in line with comparable 2018 results.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Third-quarter 2019 Supply and Logistics Segment Adjusted EBITDA increased versus comparable 2018 results primarily due to favorable crude oil differentials in the Permian Basin partially offset by lower NGL margins.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4"/>
              </w:rPr>
              <w:t>Page 4</w:t>
            </w:r>
          </w:p>
        </w:tc>
        <w:tc>
          <w:tcPr>
            <w:tcW w:w="64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940" w:type="dxa"/>
            <w:vAlign w:val="bottom"/>
            <w:gridSpan w:val="4"/>
          </w:tcPr>
          <w:p>
            <w:pPr>
              <w:spacing w:after="0"/>
              <w:rPr>
                <w:sz w:val="20"/>
                <w:szCs w:val="20"/>
                <w:color w:val="auto"/>
              </w:rPr>
            </w:pPr>
            <w:r>
              <w:rPr>
                <w:rFonts w:ascii="Arial" w:cs="Arial" w:eastAsia="Arial" w:hAnsi="Arial"/>
                <w:sz w:val="18"/>
                <w:szCs w:val="18"/>
                <w:b w:val="1"/>
                <w:bCs w:val="1"/>
                <w:color w:val="auto"/>
              </w:rPr>
              <w:t>2019 Full-Year Guidance</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The table below presents our full-year 2019 financial and operating guidance:</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9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Financial and Operating Guidance </w:t>
            </w:r>
            <w:r>
              <w:rPr>
                <w:rFonts w:ascii="Arial" w:cs="Arial" w:eastAsia="Arial" w:hAnsi="Arial"/>
                <w:sz w:val="18"/>
                <w:szCs w:val="18"/>
                <w:color w:val="auto"/>
              </w:rPr>
              <w:t>(unaudited)</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80" w:type="dxa"/>
            <w:vAlign w:val="bottom"/>
            <w:gridSpan w:val="3"/>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gridSpan w:val="4"/>
          </w:tcPr>
          <w:p>
            <w:pPr>
              <w:spacing w:after="0"/>
              <w:rPr>
                <w:sz w:val="20"/>
                <w:szCs w:val="20"/>
                <w:color w:val="auto"/>
              </w:rPr>
            </w:pPr>
            <w:r>
              <w:rPr>
                <w:rFonts w:ascii="Arial" w:cs="Arial" w:eastAsia="Arial" w:hAnsi="Arial"/>
                <w:sz w:val="18"/>
                <w:szCs w:val="18"/>
                <w:color w:val="auto"/>
              </w:rPr>
              <w:t>(in millions, except volumes, per unit and per barrel data)</w:t>
            </w: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80" w:type="dxa"/>
            <w:vAlign w:val="bottom"/>
            <w:gridSpan w:val="9"/>
          </w:tcPr>
          <w:p>
            <w:pPr>
              <w:jc w:val="right"/>
              <w:ind w:right="920"/>
              <w:spacing w:after="0"/>
              <w:rPr>
                <w:sz w:val="20"/>
                <w:szCs w:val="20"/>
                <w:color w:val="auto"/>
              </w:rPr>
            </w:pPr>
            <w:r>
              <w:rPr>
                <w:rFonts w:ascii="Arial" w:cs="Arial" w:eastAsia="Arial" w:hAnsi="Arial"/>
                <w:sz w:val="18"/>
                <w:szCs w:val="18"/>
                <w:b w:val="1"/>
                <w:bCs w:val="1"/>
                <w:color w:val="auto"/>
              </w:rPr>
              <w:t>Twelve Months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 (G)</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 /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160"/>
              <w:spacing w:after="0"/>
              <w:rPr>
                <w:sz w:val="20"/>
                <w:szCs w:val="20"/>
                <w:color w:val="auto"/>
              </w:rPr>
            </w:pPr>
            <w:r>
              <w:rPr>
                <w:rFonts w:ascii="Arial" w:cs="Arial" w:eastAsia="Arial" w:hAnsi="Arial"/>
                <w:sz w:val="18"/>
                <w:szCs w:val="18"/>
                <w:color w:val="auto"/>
              </w:rPr>
              <w:t>Transportation</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1,287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1,508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Facilities</w:t>
            </w:r>
          </w:p>
        </w:tc>
        <w:tc>
          <w:tcPr>
            <w:tcW w:w="82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734</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711</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3"/>
          </w:tcPr>
          <w:p>
            <w:pPr>
              <w:ind w:left="320"/>
              <w:spacing w:after="0"/>
              <w:rPr>
                <w:sz w:val="20"/>
                <w:szCs w:val="20"/>
                <w:color w:val="auto"/>
              </w:rPr>
            </w:pPr>
            <w:r>
              <w:rPr>
                <w:rFonts w:ascii="Arial" w:cs="Arial" w:eastAsia="Arial" w:hAnsi="Arial"/>
                <w:sz w:val="18"/>
                <w:szCs w:val="18"/>
                <w:b w:val="1"/>
                <w:bCs w:val="1"/>
                <w:color w:val="auto"/>
              </w:rPr>
              <w:t>Fee-Based</w:t>
            </w: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2,021</w:t>
            </w:r>
          </w:p>
        </w:tc>
        <w:tc>
          <w:tcPr>
            <w:tcW w:w="30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2,219</w:t>
            </w:r>
          </w:p>
        </w:tc>
        <w:tc>
          <w:tcPr>
            <w:tcW w:w="3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Supply and Logistics</w:t>
            </w:r>
          </w:p>
        </w:tc>
        <w:tc>
          <w:tcPr>
            <w:tcW w:w="8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60"/>
              <w:spacing w:after="0"/>
              <w:rPr>
                <w:sz w:val="20"/>
                <w:szCs w:val="20"/>
                <w:color w:val="auto"/>
              </w:rPr>
            </w:pPr>
            <w:r>
              <w:rPr>
                <w:rFonts w:ascii="Arial" w:cs="Arial" w:eastAsia="Arial" w:hAnsi="Arial"/>
                <w:sz w:val="18"/>
                <w:szCs w:val="18"/>
                <w:color w:val="auto"/>
              </w:rPr>
              <w:t>Adjusted other income/(expense), net</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gridSpan w:val="3"/>
            <w:vMerge w:val="restart"/>
            <w:shd w:val="clear" w:color="auto" w:fill="CCEEFF"/>
          </w:tcPr>
          <w:p>
            <w:pPr>
              <w:spacing w:after="0" w:line="284"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30"/>
                <w:szCs w:val="30"/>
                <w:b w:val="1"/>
                <w:bCs w:val="1"/>
                <w:color w:val="auto"/>
                <w:vertAlign w:val="superscript"/>
              </w:rPr>
              <w:t>(1)</w:t>
            </w: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920" w:type="dxa"/>
            <w:vAlign w:val="bottom"/>
            <w:gridSpan w:val="3"/>
            <w:vMerge w:val="continue"/>
            <w:shd w:val="clear" w:color="auto" w:fill="CCEEFF"/>
          </w:tcPr>
          <w:p>
            <w:pPr>
              <w:spacing w:after="0"/>
              <w:rPr>
                <w:sz w:val="22"/>
                <w:szCs w:val="22"/>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2,082</w:t>
            </w:r>
          </w:p>
        </w:tc>
        <w:tc>
          <w:tcPr>
            <w:tcW w:w="30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2,684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EEFF"/>
              <w:bottom w:val="single" w:sz="8" w:color="CCEEFF"/>
            </w:tcBorders>
            <w:gridSpan w:val="3"/>
            <w:vMerge w:val="restart"/>
          </w:tcPr>
          <w:p>
            <w:pPr>
              <w:ind w:left="160"/>
              <w:spacing w:after="0" w:line="250" w:lineRule="exact"/>
              <w:rPr>
                <w:sz w:val="20"/>
                <w:szCs w:val="20"/>
                <w:color w:val="auto"/>
              </w:rPr>
            </w:pPr>
            <w:r>
              <w:rPr>
                <w:rFonts w:ascii="Arial" w:cs="Arial" w:eastAsia="Arial" w:hAnsi="Arial"/>
                <w:sz w:val="17"/>
                <w:szCs w:val="17"/>
                <w:color w:val="auto"/>
              </w:rPr>
              <w:t xml:space="preserve">Interest expense, net of certain non-cash items </w:t>
            </w:r>
            <w:r>
              <w:rPr>
                <w:rFonts w:ascii="Arial" w:cs="Arial" w:eastAsia="Arial" w:hAnsi="Arial"/>
                <w:sz w:val="28"/>
                <w:szCs w:val="28"/>
                <w:color w:val="auto"/>
                <w:vertAlign w:val="superscript"/>
              </w:rPr>
              <w:t>(2)</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(483)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8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160"/>
              <w:spacing w:after="0"/>
              <w:rPr>
                <w:sz w:val="20"/>
                <w:szCs w:val="20"/>
                <w:color w:val="auto"/>
              </w:rPr>
            </w:pPr>
            <w:r>
              <w:rPr>
                <w:rFonts w:ascii="Arial" w:cs="Arial" w:eastAsia="Arial" w:hAnsi="Arial"/>
                <w:sz w:val="18"/>
                <w:szCs w:val="18"/>
                <w:color w:val="auto"/>
              </w:rPr>
              <w:t>Current income tax expense</w:t>
            </w:r>
          </w:p>
        </w:tc>
        <w:tc>
          <w:tcPr>
            <w:tcW w:w="8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gridSpan w:val="3"/>
            <w:vMerge w:val="restart"/>
          </w:tcPr>
          <w:p>
            <w:pPr>
              <w:spacing w:after="0" w:line="256"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9"/>
                <w:szCs w:val="29"/>
                <w:b w:val="1"/>
                <w:bCs w:val="1"/>
                <w:color w:val="auto"/>
                <w:vertAlign w:val="superscript"/>
              </w:rPr>
              <w:t>(1)</w:t>
            </w: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920" w:type="dxa"/>
            <w:vAlign w:val="bottom"/>
            <w:gridSpan w:val="3"/>
            <w:vMerge w:val="continue"/>
          </w:tcPr>
          <w:p>
            <w:pPr>
              <w:spacing w:after="0"/>
              <w:rPr>
                <w:sz w:val="20"/>
                <w:szCs w:val="20"/>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1,312</w:t>
            </w:r>
          </w:p>
        </w:tc>
        <w:tc>
          <w:tcPr>
            <w:tcW w:w="30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1,948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2,270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920" w:type="dxa"/>
            <w:vAlign w:val="bottom"/>
            <w:gridSpan w:val="3"/>
            <w:shd w:val="clear" w:color="auto" w:fill="CCEEFF"/>
          </w:tcPr>
          <w:p>
            <w:pPr>
              <w:ind w:left="160"/>
              <w:spacing w:after="0" w:line="269"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30"/>
                <w:szCs w:val="30"/>
                <w:color w:val="auto"/>
                <w:vertAlign w:val="superscript"/>
              </w:rPr>
              <w:t>(3)</w:t>
            </w:r>
          </w:p>
        </w:tc>
        <w:tc>
          <w:tcPr>
            <w:tcW w:w="820" w:type="dxa"/>
            <w:vAlign w:val="bottom"/>
            <w:shd w:val="clear" w:color="auto" w:fill="CCEEFF"/>
          </w:tcPr>
          <w:p>
            <w:pPr>
              <w:spacing w:after="0"/>
              <w:rPr>
                <w:sz w:val="23"/>
                <w:szCs w:val="23"/>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Implied DCF Available to Common Unitholders</w:t>
            </w: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1,307</w:t>
            </w:r>
          </w:p>
        </w:tc>
        <w:tc>
          <w:tcPr>
            <w:tcW w:w="3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1,787</w:t>
            </w:r>
          </w:p>
        </w:tc>
        <w:tc>
          <w:tcPr>
            <w:tcW w:w="3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2,070</w:t>
            </w:r>
          </w:p>
        </w:tc>
        <w:tc>
          <w:tcPr>
            <w:tcW w:w="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920" w:type="dxa"/>
            <w:vAlign w:val="bottom"/>
            <w:gridSpan w:val="3"/>
          </w:tcPr>
          <w:p>
            <w:pPr>
              <w:spacing w:after="0" w:line="256" w:lineRule="exact"/>
              <w:rPr>
                <w:sz w:val="20"/>
                <w:szCs w:val="20"/>
                <w:color w:val="auto"/>
              </w:rPr>
            </w:pPr>
            <w:r>
              <w:rPr>
                <w:rFonts w:ascii="Arial" w:cs="Arial" w:eastAsia="Arial" w:hAnsi="Arial"/>
                <w:sz w:val="18"/>
                <w:szCs w:val="18"/>
                <w:b w:val="1"/>
                <w:bCs w:val="1"/>
                <w:color w:val="auto"/>
              </w:rPr>
              <w:t xml:space="preserve">Implied DCF per Common Unit </w:t>
            </w:r>
            <w:r>
              <w:rPr>
                <w:rFonts w:ascii="Arial" w:cs="Arial" w:eastAsia="Arial" w:hAnsi="Arial"/>
                <w:sz w:val="29"/>
                <w:szCs w:val="29"/>
                <w:b w:val="1"/>
                <w:bCs w:val="1"/>
                <w:color w:val="auto"/>
                <w:vertAlign w:val="superscript"/>
              </w:rPr>
              <w:t>(1)</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1.82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2.46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Implied DCF per Common Unit and Common Equivalent Unit </w:t>
            </w:r>
            <w:r>
              <w:rPr>
                <w:rFonts w:ascii="Arial" w:cs="Arial" w:eastAsia="Arial" w:hAnsi="Arial"/>
                <w:sz w:val="29"/>
                <w:szCs w:val="29"/>
                <w:b w:val="1"/>
                <w:bCs w:val="1"/>
                <w:color w:val="auto"/>
                <w:vertAlign w:val="superscript"/>
              </w:rPr>
              <w:t>(1)</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9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9"/>
                <w:szCs w:val="29"/>
                <w:b w:val="1"/>
                <w:bCs w:val="1"/>
                <w:color w:val="auto"/>
                <w:vertAlign w:val="superscript"/>
              </w:rPr>
              <w:t>(4)</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Common Unit Distribution Coverage Ratio</w:t>
            </w:r>
          </w:p>
        </w:tc>
        <w:tc>
          <w:tcPr>
            <w:tcW w:w="8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0.94x</w:t>
            </w: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2.05x</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2.06x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920" w:type="dxa"/>
            <w:vAlign w:val="bottom"/>
            <w:gridSpan w:val="3"/>
          </w:tcPr>
          <w:p>
            <w:pPr>
              <w:spacing w:after="0" w:line="256" w:lineRule="exact"/>
              <w:rPr>
                <w:sz w:val="20"/>
                <w:szCs w:val="20"/>
                <w:color w:val="auto"/>
              </w:rPr>
            </w:pPr>
            <w:r>
              <w:rPr>
                <w:rFonts w:ascii="Arial" w:cs="Arial" w:eastAsia="Arial" w:hAnsi="Arial"/>
                <w:sz w:val="18"/>
                <w:szCs w:val="18"/>
                <w:b w:val="1"/>
                <w:bCs w:val="1"/>
                <w:color w:val="auto"/>
              </w:rPr>
              <w:t xml:space="preserve">Diluted Adjusted Net Income per Common Unit </w:t>
            </w:r>
            <w:r>
              <w:rPr>
                <w:rFonts w:ascii="Arial" w:cs="Arial" w:eastAsia="Arial" w:hAnsi="Arial"/>
                <w:sz w:val="29"/>
                <w:szCs w:val="29"/>
                <w:b w:val="1"/>
                <w:bCs w:val="1"/>
                <w:color w:val="auto"/>
                <w:vertAlign w:val="superscript"/>
              </w:rPr>
              <w:t>(1)</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1.10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Operating Data</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Transportation</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320"/>
              <w:spacing w:after="0"/>
              <w:rPr>
                <w:sz w:val="20"/>
                <w:szCs w:val="20"/>
                <w:color w:val="auto"/>
              </w:rPr>
            </w:pPr>
            <w:r>
              <w:rPr>
                <w:rFonts w:ascii="Arial" w:cs="Arial" w:eastAsia="Arial" w:hAnsi="Arial"/>
                <w:sz w:val="18"/>
                <w:szCs w:val="18"/>
                <w:color w:val="auto"/>
              </w:rPr>
              <w:t>Average daily volumes (MBbls/d)</w:t>
            </w:r>
          </w:p>
        </w:tc>
        <w:tc>
          <w:tcPr>
            <w:tcW w:w="8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5,186</w:t>
            </w:r>
          </w:p>
        </w:tc>
        <w:tc>
          <w:tcPr>
            <w:tcW w:w="2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5,889</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Segment Adjusted EBITDA per barrel</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Facilities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320"/>
              <w:spacing w:after="0"/>
              <w:rPr>
                <w:sz w:val="20"/>
                <w:szCs w:val="20"/>
                <w:color w:val="auto"/>
              </w:rPr>
            </w:pPr>
            <w:r>
              <w:rPr>
                <w:rFonts w:ascii="Arial" w:cs="Arial" w:eastAsia="Arial" w:hAnsi="Arial"/>
                <w:sz w:val="18"/>
                <w:szCs w:val="18"/>
                <w:color w:val="auto"/>
              </w:rPr>
              <w:t>Average capacity (MMBbls/Mo)</w:t>
            </w:r>
          </w:p>
        </w:tc>
        <w:tc>
          <w:tcPr>
            <w:tcW w:w="8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Segment Adjusted EBITDA per barrel</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Supply and Logistics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320"/>
              <w:spacing w:after="0"/>
              <w:rPr>
                <w:sz w:val="20"/>
                <w:szCs w:val="20"/>
                <w:color w:val="auto"/>
              </w:rPr>
            </w:pPr>
            <w:r>
              <w:rPr>
                <w:rFonts w:ascii="Arial" w:cs="Arial" w:eastAsia="Arial" w:hAnsi="Arial"/>
                <w:sz w:val="18"/>
                <w:szCs w:val="18"/>
                <w:color w:val="auto"/>
              </w:rPr>
              <w:t>Average daily volumes (MBbls/d)</w:t>
            </w:r>
          </w:p>
        </w:tc>
        <w:tc>
          <w:tcPr>
            <w:tcW w:w="8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1,219</w:t>
            </w:r>
          </w:p>
        </w:tc>
        <w:tc>
          <w:tcPr>
            <w:tcW w:w="2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1,309</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Segment Adjusted EBITDA per barrel</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Expansion Capital</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8"/>
              </w:rPr>
              <w:t>1,135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1,888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Fourth-Quarter Adjusted EBITDA as Percentage of Full Year</w:t>
            </w:r>
          </w:p>
        </w:tc>
        <w:tc>
          <w:tcPr>
            <w:tcW w:w="8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(G) 2019 Guidance forecasts are intended to be + / - amounts.</w:t>
      </w:r>
    </w:p>
    <w:p>
      <w:pPr>
        <w:spacing w:after="0" w:line="225" w:lineRule="exact"/>
        <w:rPr>
          <w:sz w:val="20"/>
          <w:szCs w:val="20"/>
          <w:color w:val="auto"/>
        </w:rPr>
      </w:pPr>
    </w:p>
    <w:p>
      <w:pPr>
        <w:ind w:left="340" w:right="40" w:hanging="332"/>
        <w:spacing w:after="0" w:line="245" w:lineRule="auto"/>
        <w:tabs>
          <w:tab w:leader="none" w:pos="340"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Non-GAAP Reconciliation tables attached hereto for information regarding non-GAAP financial measures and, for the historical 2017 and 2018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202"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603"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16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01" w:lineRule="exact"/>
        <w:rPr>
          <w:rFonts w:ascii="Arial" w:cs="Arial" w:eastAsia="Arial" w:hAnsi="Arial"/>
          <w:sz w:val="28"/>
          <w:szCs w:val="28"/>
          <w:color w:val="auto"/>
          <w:vertAlign w:val="superscript"/>
        </w:rPr>
      </w:pPr>
    </w:p>
    <w:p>
      <w:pPr>
        <w:ind w:left="340" w:right="20" w:hanging="332"/>
        <w:spacing w:after="0" w:line="218" w:lineRule="auto"/>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Cash distributions paid to our preferred unitholders during the year presented. Distributions on our Series A preferred units were paid-in-kind for all 2017 quarterly distributions and for the February 2018 quarterly distribution. Distributions on our Series A preferred units have been paid in cash since the May 2018 quarterly distribution. Distributions on our Series B preferred units are payable semi-annually in arrears on May 15 and November 15. A pro-rated initial distribution on the Series B preferred units was paid on November 15, 2017.</w:t>
      </w:r>
    </w:p>
    <w:p>
      <w:pPr>
        <w:spacing w:after="0" w:line="203" w:lineRule="exact"/>
        <w:rPr>
          <w:rFonts w:ascii="Arial" w:cs="Arial" w:eastAsia="Arial" w:hAnsi="Arial"/>
          <w:sz w:val="30"/>
          <w:szCs w:val="30"/>
          <w:color w:val="auto"/>
          <w:vertAlign w:val="superscript"/>
        </w:rPr>
      </w:pPr>
    </w:p>
    <w:p>
      <w:pPr>
        <w:ind w:left="340" w:right="620" w:hanging="332"/>
        <w:spacing w:after="0" w:line="194" w:lineRule="auto"/>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Cash distributions per common unit paid during 2017 and 2018. 2019 (G) reflects the cash distribution per common unit paid in February and the increased annualized distribution rate of $1.44 per common unit for the remainder of the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Q3 2019</w:t>
            </w:r>
          </w:p>
        </w:tc>
        <w:tc>
          <w:tcPr>
            <w:tcW w:w="200" w:type="dxa"/>
            <w:vAlign w:val="bottom"/>
          </w:tcPr>
          <w:p>
            <w:pPr>
              <w:spacing w:after="0"/>
              <w:rPr>
                <w:sz w:val="20"/>
                <w:szCs w:val="20"/>
                <w:color w:val="auto"/>
              </w:rPr>
            </w:pPr>
          </w:p>
        </w:tc>
        <w:tc>
          <w:tcPr>
            <w:tcW w:w="12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Q2 2019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Q3 2018</w:t>
            </w: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1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b w:val="1"/>
                <w:bCs w:val="1"/>
                <w:color w:val="auto"/>
              </w:rPr>
              <w:t>Q3 2019 distribution percentage change from prior periods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joint conference call at 4:00 p.m. CT on Tuesday, November 5, 2019 to discuss the following items:</w:t>
      </w:r>
    </w:p>
    <w:p>
      <w:pPr>
        <w:spacing w:after="0" w:line="225" w:lineRule="exact"/>
        <w:rPr>
          <w:sz w:val="20"/>
          <w:szCs w:val="20"/>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third-quarter 2019 performance;</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and operating guidance;</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and PAGP’s outlook for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access the internet webcast, please go to https://event.webcasts.com/starthere.jsp?ei=1264489&amp;tp_key=5224d72ff3.</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Alternatively, the webcast can be accessed on our website (www.plainsallamerican.com)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A transcript will also be available after the call at the above referenced website.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of, and gains and losses on significant asset sales by, unconsolidated entities), gains and losses on asset sales and asset impairments and gains on investments in unconsolidated entities, adjusted for certain selected items impacting comparability (“Adjusted EBITDA”) and implied distributable cash flow (“DCF”).</w:t>
      </w:r>
    </w:p>
    <w:p>
      <w:pPr>
        <w:spacing w:after="0" w:line="173"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38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expansion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including the effects of capacity overbuild in areas where we operate; market distortions caused by over-commitments to infrastructure projects, which impacts volumes, margins, returns and overall earnings; unanticipated changes in crude oil and NGL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NGL and natural gas and resulting changes in pricing conditions or transportation throughput requirements; maintenance of our credit rating and ability to receive open credit from our suppliers and trade counterparties; the occurrence of a natural disaster, catastrophe, terrorist attack (including eco-terrorist attacks) or other event, including cyber or other attacks on our electronic and computer systems; failure to implement or capitalize, or delays in implementing or capitalizing, on expansion projects, whether due to permitting delays, permitting withdrawals or other factors; shortages or cost increases of supplies, materials or labor; the impact of current and future laws, rulings, governmental regulations, accounting standards and statements, and related interpretations;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effectiveness of our risk management activities; fluctuations in the debt and equity markets, including the price of our units at the time of vesting under our long-term incentive plans; risks related to the development and operation of our assets, including our ability to satisfy our contractual obligations to our customers;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as well as in the storage of natural gas and the processing, transportation, fractionation, storage and marketing of NGL as discussed in the Partnerships’ filings with the Securities and Exchange Commission.</w:t>
      </w:r>
    </w:p>
    <w:p>
      <w:pPr>
        <w:spacing w:after="0" w:line="3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34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2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7,886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8,792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6,855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7,768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21,218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22,838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9"/>
                <w:szCs w:val="29"/>
                <w:color w:val="auto"/>
                <w:vertAlign w:val="superscript"/>
              </w:rPr>
              <w:t>(1)</w:t>
            </w:r>
          </w:p>
        </w:tc>
        <w:tc>
          <w:tcPr>
            <w:tcW w:w="8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w:t>
            </w: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spacing w:after="0" w:line="269" w:lineRule="exact"/>
              <w:rPr>
                <w:sz w:val="20"/>
                <w:szCs w:val="20"/>
                <w:color w:val="auto"/>
              </w:rPr>
            </w:pPr>
            <w:r>
              <w:rPr>
                <w:rFonts w:ascii="Arial" w:cs="Arial" w:eastAsia="Arial" w:hAnsi="Arial"/>
                <w:sz w:val="18"/>
                <w:szCs w:val="18"/>
                <w:color w:val="auto"/>
              </w:rPr>
              <w:t xml:space="preserve">(Gains)/losses on asset sales and asset impairments, net </w:t>
            </w:r>
            <w:r>
              <w:rPr>
                <w:rFonts w:ascii="Arial" w:cs="Arial" w:eastAsia="Arial" w:hAnsi="Arial"/>
                <w:sz w:val="30"/>
                <w:szCs w:val="30"/>
                <w:color w:val="auto"/>
                <w:vertAlign w:val="superscript"/>
              </w:rPr>
              <w:t>(1)</w:t>
            </w:r>
          </w:p>
        </w:tc>
        <w:tc>
          <w:tcPr>
            <w:tcW w:w="82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costs and expenses</w:t>
            </w: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7,394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8,299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8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Gain on investment in unconsolidated entities</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expense, net</w:t>
            </w:r>
          </w:p>
        </w:tc>
        <w:tc>
          <w:tcPr>
            <w:tcW w:w="8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8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8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820" w:type="dxa"/>
            <w:vAlign w:val="bottom"/>
            <w:tcBorders>
              <w:top w:val="single" w:sz="8" w:color="auto"/>
              <w:bottom w:val="single" w:sz="8" w:color="auto"/>
            </w:tcBorders>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income allocated to common unitholders — Basic</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399</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658</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1,710</w:t>
            </w:r>
          </w:p>
        </w:tc>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Basic net income per common unit</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0.55</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0.91</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2.35</w:t>
            </w:r>
          </w:p>
        </w:tc>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income allocated to common unitholders — Diluted</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436</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697</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1,826</w:t>
            </w:r>
          </w:p>
        </w:tc>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weighted average common units outstanding</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Diluted net income per common unit</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0.55</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0.87</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097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4" w:lineRule="exact"/>
        <w:rPr>
          <w:sz w:val="20"/>
          <w:szCs w:val="20"/>
          <w:color w:val="auto"/>
        </w:rPr>
      </w:pPr>
    </w:p>
    <w:p>
      <w:pPr>
        <w:ind w:left="340" w:right="120" w:hanging="332"/>
        <w:spacing w:after="0" w:line="221" w:lineRule="auto"/>
        <w:tabs>
          <w:tab w:leader="none" w:pos="34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Effective for the fourth quarter of 2018, we reclassified amounts related to gains and losses on asset sales and asset impairments from “Depreciation and amortization” to “(Gains)/losses on asset sales and asset impairments, net” on our Condensed Consolidated Statements of Operations.</w:t>
      </w:r>
    </w:p>
    <w:p>
      <w:pPr>
        <w:spacing w:after="0" w:line="203" w:lineRule="exact"/>
        <w:rPr>
          <w:rFonts w:ascii="Arial" w:cs="Arial" w:eastAsia="Arial" w:hAnsi="Arial"/>
          <w:sz w:val="26"/>
          <w:szCs w:val="26"/>
          <w:color w:val="auto"/>
          <w:vertAlign w:val="superscript"/>
        </w:rPr>
      </w:pPr>
    </w:p>
    <w:p>
      <w:pPr>
        <w:ind w:left="5520" w:hanging="96"/>
        <w:spacing w:after="0"/>
        <w:tabs>
          <w:tab w:leader="none" w:pos="5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ADJUSTED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6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ind w:left="3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13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17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0.52</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7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 more -</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ind w:left="1700"/>
              <w:spacing w:after="0"/>
              <w:rPr>
                <w:sz w:val="20"/>
                <w:szCs w:val="20"/>
                <w:color w:val="auto"/>
              </w:rPr>
            </w:pPr>
            <w:r>
              <w:rPr>
                <w:rFonts w:ascii="Arial" w:cs="Arial" w:eastAsia="Arial" w:hAnsi="Arial"/>
                <w:sz w:val="18"/>
                <w:szCs w:val="18"/>
                <w:b w:val="1"/>
                <w:bCs w:val="1"/>
                <w:color w:val="auto"/>
              </w:rPr>
              <w:t>333 Clay Street, Suite 1600</w:t>
            </w:r>
          </w:p>
        </w:tc>
        <w:tc>
          <w:tcPr>
            <w:tcW w:w="26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Houston, Texas 77002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0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713-646-4100 / 866-809-1291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2"/>
              </w:rPr>
              <w:t>September 30,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360" w:type="dxa"/>
            <w:vAlign w:val="bottom"/>
          </w:tcPr>
          <w:p>
            <w:pPr>
              <w:spacing w:after="0"/>
              <w:rPr>
                <w:sz w:val="18"/>
                <w:szCs w:val="18"/>
                <w:color w:val="auto"/>
              </w:rPr>
            </w:pPr>
          </w:p>
        </w:tc>
        <w:tc>
          <w:tcPr>
            <w:tcW w:w="1680" w:type="dxa"/>
            <w:vAlign w:val="bottom"/>
            <w:gridSpan w:val="3"/>
          </w:tcPr>
          <w:p>
            <w:pPr>
              <w:jc w:val="right"/>
              <w:ind w:right="57"/>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4,676</w:t>
            </w: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15,257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2,532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3,485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930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operating lease right-of-use assets, net</w:t>
            </w:r>
          </w:p>
        </w:tc>
        <w:tc>
          <w:tcPr>
            <w:tcW w:w="2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Long-term inventory</w:t>
            </w: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895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assets</w:t>
            </w:r>
          </w:p>
        </w:tc>
        <w:tc>
          <w:tcPr>
            <w:tcW w:w="236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28,377</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3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4,872</w:t>
            </w:r>
          </w:p>
        </w:tc>
        <w:tc>
          <w:tcPr>
            <w:tcW w:w="3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Senior notes, net</w:t>
            </w: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8,937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 net</w:t>
            </w:r>
          </w:p>
        </w:tc>
        <w:tc>
          <w:tcPr>
            <w:tcW w:w="2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Long-term operating lease liabilities</w:t>
            </w: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873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15,266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12,978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12,002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partners’ capital</w:t>
            </w:r>
          </w:p>
        </w:tc>
        <w:tc>
          <w:tcPr>
            <w:tcW w:w="236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13,111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12,002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23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28,377</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2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60" w:type="dxa"/>
            <w:vAlign w:val="bottom"/>
            <w:gridSpan w:val="3"/>
            <w:vMerge w:val="continue"/>
          </w:tcPr>
          <w:p>
            <w:pPr>
              <w:spacing w:after="0"/>
              <w:rPr>
                <w:sz w:val="24"/>
                <w:szCs w:val="24"/>
                <w:color w:val="auto"/>
              </w:rPr>
            </w:pPr>
          </w:p>
        </w:tc>
        <w:tc>
          <w:tcPr>
            <w:tcW w:w="2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87"/>
              </w:rPr>
              <w:t>September 30,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9,173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236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3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9,173</w:t>
            </w:r>
          </w:p>
        </w:tc>
        <w:tc>
          <w:tcPr>
            <w:tcW w:w="1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2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13,111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236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gridSpan w:val="2"/>
            <w:vMerge w:val="restart"/>
          </w:tcPr>
          <w:p>
            <w:pPr>
              <w:ind w:left="320"/>
              <w:spacing w:after="0"/>
              <w:rPr>
                <w:sz w:val="20"/>
                <w:szCs w:val="20"/>
                <w:color w:val="auto"/>
              </w:rPr>
            </w:pPr>
            <w:r>
              <w:rPr>
                <w:rFonts w:ascii="Arial" w:cs="Arial" w:eastAsia="Arial" w:hAnsi="Arial"/>
                <w:sz w:val="18"/>
                <w:szCs w:val="18"/>
                <w:color w:val="auto"/>
              </w:rPr>
              <w:t>Total book capitalization, including short-term debt</w:t>
            </w:r>
          </w:p>
        </w:tc>
        <w:tc>
          <w:tcPr>
            <w:tcW w:w="2360" w:type="dxa"/>
            <w:vAlign w:val="bottom"/>
          </w:tcPr>
          <w:p>
            <w:pPr>
              <w:spacing w:after="0" w:line="20" w:lineRule="exact"/>
              <w:rPr>
                <w:sz w:val="1"/>
                <w:szCs w:val="1"/>
                <w:color w:val="auto"/>
              </w:rPr>
            </w:pPr>
          </w:p>
        </w:tc>
        <w:tc>
          <w:tcPr>
            <w:tcW w:w="1380" w:type="dxa"/>
            <w:vAlign w:val="bottom"/>
            <w:vMerge w:val="restart"/>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Borders>
              <w:bottom w:val="single" w:sz="8" w:color="CCEEFF"/>
            </w:tcBorders>
            <w:gridSpan w:val="2"/>
            <w:vMerge w:val="continue"/>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gridSpan w:val="2"/>
          </w:tcPr>
          <w:p>
            <w:pPr>
              <w:jc w:val="right"/>
              <w:ind w:right="117"/>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23,368</w:t>
            </w:r>
          </w:p>
        </w:tc>
        <w:tc>
          <w:tcPr>
            <w:tcW w:w="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21,211</w:t>
            </w: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2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60" w:type="dxa"/>
            <w:vAlign w:val="bottom"/>
          </w:tcPr>
          <w:p>
            <w:pPr>
              <w:jc w:val="center"/>
              <w:ind w:right="370"/>
              <w:spacing w:after="0"/>
              <w:rPr>
                <w:sz w:val="20"/>
                <w:szCs w:val="20"/>
                <w:color w:val="auto"/>
              </w:rPr>
            </w:pPr>
            <w:r>
              <w:rPr>
                <w:rFonts w:ascii="Arial" w:cs="Arial" w:eastAsia="Arial" w:hAnsi="Arial"/>
                <w:sz w:val="18"/>
                <w:szCs w:val="18"/>
                <w:color w:val="auto"/>
                <w:w w:val="91"/>
              </w:rPr>
              <w:t>- more -</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gridSpan w:val="2"/>
          </w:tcPr>
          <w:p>
            <w:pPr>
              <w:ind w:left="1700"/>
              <w:spacing w:after="0"/>
              <w:rPr>
                <w:sz w:val="20"/>
                <w:szCs w:val="20"/>
                <w:color w:val="auto"/>
              </w:rPr>
            </w:pPr>
            <w:r>
              <w:rPr>
                <w:rFonts w:ascii="Arial" w:cs="Arial" w:eastAsia="Arial" w:hAnsi="Arial"/>
                <w:sz w:val="18"/>
                <w:szCs w:val="18"/>
                <w:b w:val="1"/>
                <w:bCs w:val="1"/>
                <w:color w:val="auto"/>
              </w:rPr>
              <w:t>333 Clay Street, Suite 1600</w:t>
            </w:r>
          </w:p>
        </w:tc>
        <w:tc>
          <w:tcPr>
            <w:tcW w:w="236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Houston, Texas 77002</w:t>
            </w:r>
          </w:p>
        </w:tc>
        <w:tc>
          <w:tcPr>
            <w:tcW w:w="284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rPr>
              <w:t>713-646-4100 / 866-809-1291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30"/>
          <w:szCs w:val="30"/>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Net Income per Common Unit</w:t>
            </w: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98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710</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1,865</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8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allocated to common unitholders</w:t>
            </w:r>
          </w:p>
        </w:tc>
        <w:tc>
          <w:tcPr>
            <w:tcW w:w="82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0.55</w:t>
            </w:r>
          </w:p>
        </w:tc>
        <w:tc>
          <w:tcPr>
            <w:tcW w:w="98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0.91</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2.35</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820" w:type="dxa"/>
            <w:vAlign w:val="bottom"/>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w:t>
            </w:r>
          </w:p>
        </w:tc>
        <w:tc>
          <w:tcPr>
            <w:tcW w:w="9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1,865</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8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allocated to common unitholders</w:t>
            </w:r>
          </w:p>
        </w:tc>
        <w:tc>
          <w:tcPr>
            <w:tcW w:w="820" w:type="dxa"/>
            <w:vAlign w:val="bottom"/>
            <w:tcBorders>
              <w:top w:val="single" w:sz="8" w:color="auto"/>
              <w:bottom w:val="single" w:sz="8" w:color="auto"/>
            </w:tcBorders>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9"/>
                <w:szCs w:val="29"/>
                <w:color w:val="auto"/>
                <w:vertAlign w:val="superscript"/>
              </w:rPr>
              <w:t>(2)</w:t>
            </w:r>
          </w:p>
        </w:tc>
        <w:tc>
          <w:tcPr>
            <w:tcW w:w="8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ind w:left="160"/>
              <w:spacing w:after="0" w:line="269"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30"/>
                <w:szCs w:val="30"/>
                <w:color w:val="auto"/>
                <w:vertAlign w:val="superscript"/>
              </w:rPr>
              <w:t>(3)</w:t>
            </w:r>
          </w:p>
        </w:tc>
        <w:tc>
          <w:tcPr>
            <w:tcW w:w="82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820" w:type="dxa"/>
            <w:vAlign w:val="bottom"/>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0.55</w:t>
            </w:r>
          </w:p>
        </w:tc>
        <w:tc>
          <w:tcPr>
            <w:tcW w:w="9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0.87</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0" w:lineRule="exact"/>
        <w:rPr>
          <w:sz w:val="20"/>
          <w:szCs w:val="20"/>
          <w:color w:val="auto"/>
        </w:rPr>
      </w:pPr>
    </w:p>
    <w:p>
      <w:pPr>
        <w:ind w:left="340" w:hanging="332"/>
        <w:spacing w:after="0" w:line="218"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203" w:lineRule="exact"/>
        <w:rPr>
          <w:rFonts w:ascii="Arial" w:cs="Arial" w:eastAsia="Arial" w:hAnsi="Arial"/>
          <w:sz w:val="30"/>
          <w:szCs w:val="30"/>
          <w:color w:val="auto"/>
          <w:vertAlign w:val="superscript"/>
        </w:rPr>
      </w:pPr>
    </w:p>
    <w:p>
      <w:pPr>
        <w:ind w:left="340" w:right="280" w:hanging="332"/>
        <w:spacing w:after="0" w:line="194"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The possible conversion of our Series A preferred units was excluded from the calculation of diluted net income per common unit for the nine months ended September 30, 2018 as the effect was antidilutive.</w:t>
      </w:r>
    </w:p>
    <w:p>
      <w:pPr>
        <w:spacing w:after="0" w:line="202" w:lineRule="exact"/>
        <w:rPr>
          <w:rFonts w:ascii="Arial" w:cs="Arial" w:eastAsia="Arial" w:hAnsi="Arial"/>
          <w:sz w:val="30"/>
          <w:szCs w:val="30"/>
          <w:color w:val="auto"/>
          <w:vertAlign w:val="superscript"/>
        </w:rPr>
      </w:pPr>
    </w:p>
    <w:p>
      <w:pPr>
        <w:ind w:left="340" w:right="40" w:hanging="332"/>
        <w:spacing w:after="0" w:line="218"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03"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42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rPr>
              <w:t>Nine Months Ended</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6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87"/>
              </w:rPr>
              <w:t>September 30,</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5620" w:type="dxa"/>
            <w:vAlign w:val="bottom"/>
            <w:tcBorders>
              <w:top w:val="single" w:sz="8" w:color="CCEEFF"/>
            </w:tcBorders>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7"/>
                <w:szCs w:val="27"/>
                <w:b w:val="1"/>
                <w:bCs w:val="1"/>
                <w:color w:val="auto"/>
                <w:vertAlign w:val="superscript"/>
              </w:rPr>
              <w:t>(1)</w:t>
            </w:r>
          </w:p>
        </w:tc>
        <w:tc>
          <w:tcPr>
            <w:tcW w:w="82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05"/>
        </w:trPr>
        <w:tc>
          <w:tcPr>
            <w:tcW w:w="5620" w:type="dxa"/>
            <w:vAlign w:val="bottom"/>
          </w:tcPr>
          <w:p>
            <w:pPr>
              <w:spacing w:after="0" w:line="206" w:lineRule="exact"/>
              <w:rPr>
                <w:sz w:val="20"/>
                <w:szCs w:val="20"/>
                <w:color w:val="auto"/>
              </w:rPr>
            </w:pPr>
            <w:r>
              <w:rPr>
                <w:rFonts w:ascii="Arial" w:cs="Arial" w:eastAsia="Arial" w:hAnsi="Arial"/>
                <w:sz w:val="18"/>
                <w:szCs w:val="18"/>
                <w:color w:val="auto"/>
              </w:rPr>
              <w:t>Gains/(losses) from derivative activities, net of inventory valuation</w:t>
            </w: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7"/>
        </w:trPr>
        <w:tc>
          <w:tcPr>
            <w:tcW w:w="5620" w:type="dxa"/>
            <w:vAlign w:val="bottom"/>
          </w:tcPr>
          <w:p>
            <w:pPr>
              <w:ind w:left="180"/>
              <w:spacing w:after="0" w:line="266"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30"/>
                <w:szCs w:val="30"/>
                <w:color w:val="auto"/>
                <w:vertAlign w:val="superscript"/>
              </w:rPr>
              <w:t>(2)</w:t>
            </w:r>
          </w:p>
        </w:tc>
        <w:tc>
          <w:tcPr>
            <w:tcW w:w="820" w:type="dxa"/>
            <w:vAlign w:val="bottom"/>
          </w:tcPr>
          <w:p>
            <w:pPr>
              <w:jc w:val="right"/>
              <w:ind w:right="659"/>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3"/>
                <w:szCs w:val="23"/>
                <w:color w:val="auto"/>
              </w:rPr>
            </w:pPr>
          </w:p>
        </w:tc>
        <w:tc>
          <w:tcPr>
            <w:tcW w:w="100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880" w:type="dxa"/>
            <w:vAlign w:val="bottom"/>
            <w:gridSpan w:val="2"/>
          </w:tcPr>
          <w:p>
            <w:pPr>
              <w:jc w:val="right"/>
              <w:ind w:right="63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92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9"/>
                <w:szCs w:val="29"/>
                <w:color w:val="auto"/>
                <w:vertAlign w:val="superscript"/>
              </w:rPr>
              <w:t>(3)</w:t>
            </w:r>
          </w:p>
        </w:tc>
        <w:tc>
          <w:tcPr>
            <w:tcW w:w="8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9"/>
                <w:szCs w:val="29"/>
                <w:color w:val="auto"/>
                <w:vertAlign w:val="superscript"/>
              </w:rPr>
              <w:t>(4)</w:t>
            </w:r>
          </w:p>
        </w:tc>
        <w:tc>
          <w:tcPr>
            <w:tcW w:w="8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9"/>
                <w:szCs w:val="29"/>
                <w:color w:val="auto"/>
                <w:vertAlign w:val="superscript"/>
              </w:rPr>
              <w:t>(5)</w:t>
            </w:r>
          </w:p>
        </w:tc>
        <w:tc>
          <w:tcPr>
            <w:tcW w:w="8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9"/>
                <w:szCs w:val="29"/>
                <w:color w:val="auto"/>
                <w:vertAlign w:val="superscript"/>
              </w:rPr>
              <w:t>(6)</w:t>
            </w:r>
          </w:p>
        </w:tc>
        <w:tc>
          <w:tcPr>
            <w:tcW w:w="8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70"/>
        </w:trPr>
        <w:tc>
          <w:tcPr>
            <w:tcW w:w="562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30"/>
                <w:szCs w:val="30"/>
                <w:color w:val="auto"/>
                <w:vertAlign w:val="superscript"/>
              </w:rPr>
              <w:t>(7)</w:t>
            </w:r>
          </w:p>
        </w:tc>
        <w:tc>
          <w:tcPr>
            <w:tcW w:w="8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620" w:type="dxa"/>
            <w:vAlign w:val="bottom"/>
          </w:tcPr>
          <w:p>
            <w:pPr>
              <w:ind w:left="180"/>
              <w:spacing w:after="0"/>
              <w:rPr>
                <w:sz w:val="20"/>
                <w:szCs w:val="20"/>
                <w:color w:val="auto"/>
              </w:rPr>
            </w:pPr>
            <w:r>
              <w:rPr>
                <w:rFonts w:ascii="Arial" w:cs="Arial" w:eastAsia="Arial" w:hAnsi="Arial"/>
                <w:sz w:val="18"/>
                <w:szCs w:val="18"/>
                <w:color w:val="auto"/>
              </w:rPr>
              <w:t>Selected items impacting comparability - Adjusted EBITDA</w:t>
            </w:r>
          </w:p>
        </w:tc>
        <w:tc>
          <w:tcPr>
            <w:tcW w:w="820" w:type="dxa"/>
            <w:vAlign w:val="bottom"/>
            <w:tcBorders>
              <w:top w:val="single" w:sz="8" w:color="auto"/>
            </w:tcBorders>
          </w:tcPr>
          <w:p>
            <w:pPr>
              <w:jc w:val="right"/>
              <w:ind w:right="65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jc w:val="right"/>
              <w:ind w:right="63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(134)</w:t>
            </w:r>
          </w:p>
        </w:tc>
        <w:tc>
          <w:tcPr>
            <w:tcW w:w="100" w:type="dxa"/>
            <w:vAlign w:val="bottom"/>
          </w:tcPr>
          <w:p>
            <w:pPr>
              <w:spacing w:after="0"/>
              <w:rPr>
                <w:sz w:val="18"/>
                <w:szCs w:val="18"/>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9"/>
                <w:szCs w:val="29"/>
                <w:color w:val="auto"/>
                <w:vertAlign w:val="superscript"/>
              </w:rPr>
              <w:t>(2)</w:t>
            </w:r>
          </w:p>
        </w:tc>
        <w:tc>
          <w:tcPr>
            <w:tcW w:w="8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Gain on investment in unconsolidated entities</w:t>
            </w:r>
          </w:p>
        </w:tc>
        <w:tc>
          <w:tcPr>
            <w:tcW w:w="8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Gains/(losses) on asset sales and asset impairments, net</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8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182"/>
        </w:trPr>
        <w:tc>
          <w:tcPr>
            <w:tcW w:w="562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color w:val="auto"/>
              </w:rPr>
              <w:t>Selected items impacting comparability - Adjusted net income</w:t>
            </w:r>
          </w:p>
        </w:tc>
        <w:tc>
          <w:tcPr>
            <w:tcW w:w="8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57"/>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attributable to PAA</w:t>
            </w:r>
          </w:p>
        </w:tc>
        <w:tc>
          <w:tcPr>
            <w:tcW w:w="820" w:type="dxa"/>
            <w:vAlign w:val="bottom"/>
            <w:shd w:val="clear" w:color="auto" w:fill="CCEEFF"/>
          </w:tcPr>
          <w:p>
            <w:pPr>
              <w:jc w:val="right"/>
              <w:ind w:right="659"/>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w:t>
            </w:r>
          </w:p>
        </w:tc>
        <w:tc>
          <w:tcPr>
            <w:tcW w:w="880" w:type="dxa"/>
            <w:vAlign w:val="bottom"/>
            <w:gridSpan w:val="2"/>
            <w:shd w:val="clear" w:color="auto" w:fill="CCEEFF"/>
          </w:tcPr>
          <w:p>
            <w:pPr>
              <w:jc w:val="right"/>
              <w:ind w:right="63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w:t>
            </w:r>
          </w:p>
        </w:tc>
        <w:tc>
          <w:tcPr>
            <w:tcW w:w="92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6"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201" w:lineRule="exact"/>
        <w:rPr>
          <w:rFonts w:ascii="Arial" w:cs="Arial" w:eastAsia="Arial" w:hAnsi="Arial"/>
          <w:sz w:val="30"/>
          <w:szCs w:val="30"/>
          <w:color w:val="auto"/>
          <w:vertAlign w:val="superscript"/>
        </w:rPr>
      </w:pPr>
    </w:p>
    <w:p>
      <w:pPr>
        <w:ind w:left="340" w:hanging="332"/>
        <w:spacing w:after="0" w:line="245" w:lineRule="auto"/>
        <w:tabs>
          <w:tab w:leader="none" w:pos="340"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202" w:lineRule="exact"/>
        <w:rPr>
          <w:rFonts w:ascii="Arial" w:cs="Arial" w:eastAsia="Arial" w:hAnsi="Arial"/>
          <w:sz w:val="28"/>
          <w:szCs w:val="28"/>
          <w:color w:val="auto"/>
          <w:vertAlign w:val="superscript"/>
        </w:rPr>
      </w:pPr>
    </w:p>
    <w:p>
      <w:pPr>
        <w:ind w:left="340" w:right="160" w:hanging="332"/>
        <w:spacing w:after="0" w:line="256" w:lineRule="auto"/>
        <w:tabs>
          <w:tab w:leader="none" w:pos="34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92" w:lineRule="exact"/>
        <w:rPr>
          <w:rFonts w:ascii="Arial" w:cs="Arial" w:eastAsia="Arial" w:hAnsi="Arial"/>
          <w:sz w:val="26"/>
          <w:szCs w:val="26"/>
          <w:color w:val="auto"/>
          <w:vertAlign w:val="superscript"/>
        </w:rPr>
      </w:pPr>
    </w:p>
    <w:p>
      <w:pPr>
        <w:ind w:left="340" w:right="20" w:hanging="332"/>
        <w:spacing w:after="0" w:line="269" w:lineRule="auto"/>
        <w:tabs>
          <w:tab w:leader="none" w:pos="34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85" w:lineRule="exact"/>
        <w:rPr>
          <w:rFonts w:ascii="Arial" w:cs="Arial" w:eastAsia="Arial" w:hAnsi="Arial"/>
          <w:sz w:val="26"/>
          <w:szCs w:val="26"/>
          <w:color w:val="auto"/>
          <w:vertAlign w:val="superscript"/>
        </w:rPr>
      </w:pPr>
    </w:p>
    <w:p>
      <w:pPr>
        <w:ind w:left="340" w:right="120" w:hanging="332"/>
        <w:spacing w:after="0" w:line="227"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07" w:lineRule="exact"/>
        <w:rPr>
          <w:rFonts w:ascii="Arial" w:cs="Arial" w:eastAsia="Arial" w:hAnsi="Arial"/>
          <w:sz w:val="30"/>
          <w:szCs w:val="30"/>
          <w:color w:val="auto"/>
          <w:vertAlign w:val="superscript"/>
        </w:rPr>
      </w:pPr>
    </w:p>
    <w:p>
      <w:pPr>
        <w:ind w:left="340" w:right="360" w:hanging="332"/>
        <w:spacing w:after="0" w:line="207" w:lineRule="auto"/>
        <w:tabs>
          <w:tab w:leader="none" w:pos="340"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201" w:lineRule="exact"/>
        <w:rPr>
          <w:rFonts w:ascii="Arial" w:cs="Arial" w:eastAsia="Arial" w:hAnsi="Arial"/>
          <w:sz w:val="28"/>
          <w:szCs w:val="28"/>
          <w:color w:val="auto"/>
          <w:vertAlign w:val="superscript"/>
        </w:rPr>
      </w:pPr>
    </w:p>
    <w:p>
      <w:pPr>
        <w:ind w:left="340" w:right="580" w:hanging="332"/>
        <w:spacing w:after="0" w:line="194"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w:t>
      </w:r>
    </w:p>
    <w:p>
      <w:pPr>
        <w:spacing w:after="0" w:line="188"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more -</w:t>
      </w:r>
    </w:p>
    <w:p>
      <w:pPr>
        <w:sectPr>
          <w:pgSz w:w="11900" w:h="16838" w:orient="portrait"/>
          <w:cols w:equalWidth="0" w:num="1">
            <w:col w:w="11420"/>
          </w:cols>
          <w:pgMar w:left="240" w:top="908" w:right="239" w:bottom="0" w:gutter="0" w:footer="0" w:header="0"/>
        </w:sectPr>
      </w:pPr>
    </w:p>
    <w:bookmarkStart w:id="15" w:name="page16"/>
    <w:bookmarkEnd w:id="15"/>
    <w:p>
      <w:pPr>
        <w:ind w:left="520"/>
        <w:spacing w:after="0"/>
        <w:tabs>
          <w:tab w:leader="none" w:pos="3640" w:val="left"/>
          <w:tab w:leader="none" w:pos="6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309245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30"/>
          <w:szCs w:val="30"/>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38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Adjusted Net Income per Common Unit</w:t>
            </w: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9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710</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1,865</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206" w:lineRule="exact"/>
              <w:rPr>
                <w:sz w:val="20"/>
                <w:szCs w:val="20"/>
                <w:color w:val="auto"/>
              </w:rPr>
            </w:pPr>
            <w:r>
              <w:rPr>
                <w:rFonts w:ascii="Arial" w:cs="Arial" w:eastAsia="Arial" w:hAnsi="Arial"/>
                <w:sz w:val="18"/>
                <w:szCs w:val="18"/>
                <w:color w:val="auto"/>
              </w:rPr>
              <w:t>Selected items impacting comparability - Adjusted net income</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600" w:type="dxa"/>
            <w:vAlign w:val="bottom"/>
            <w:shd w:val="clear" w:color="auto" w:fill="CCEEFF"/>
          </w:tcPr>
          <w:p>
            <w:pPr>
              <w:ind w:left="320"/>
              <w:spacing w:after="0" w:line="281" w:lineRule="exact"/>
              <w:rPr>
                <w:sz w:val="20"/>
                <w:szCs w:val="20"/>
                <w:color w:val="auto"/>
              </w:rPr>
            </w:pPr>
            <w:r>
              <w:rPr>
                <w:rFonts w:ascii="Arial" w:cs="Arial" w:eastAsia="Arial" w:hAnsi="Arial"/>
                <w:sz w:val="18"/>
                <w:szCs w:val="18"/>
                <w:color w:val="auto"/>
              </w:rPr>
              <w:t xml:space="preserve">attributable to PAA </w:t>
            </w:r>
            <w:r>
              <w:rPr>
                <w:rFonts w:ascii="Arial" w:cs="Arial" w:eastAsia="Arial" w:hAnsi="Arial"/>
                <w:sz w:val="30"/>
                <w:szCs w:val="30"/>
                <w:color w:val="auto"/>
                <w:vertAlign w:val="superscript"/>
              </w:rPr>
              <w:t>(2)</w:t>
            </w:r>
          </w:p>
        </w:tc>
        <w:tc>
          <w:tcPr>
            <w:tcW w:w="8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w:t>
            </w:r>
          </w:p>
        </w:tc>
        <w:tc>
          <w:tcPr>
            <w:tcW w:w="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820" w:type="dxa"/>
            <w:vAlign w:val="bottom"/>
            <w:tcBorders>
              <w:top w:val="single" w:sz="8" w:color="auto"/>
            </w:tcBorders>
          </w:tcPr>
          <w:p>
            <w:pPr>
              <w:jc w:val="right"/>
              <w:ind w:right="662"/>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8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net income allocated to common unitholders</w:t>
            </w:r>
          </w:p>
        </w:tc>
        <w:tc>
          <w:tcPr>
            <w:tcW w:w="82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adjusted net income per common unit</w:t>
            </w: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0.52</w:t>
            </w:r>
          </w:p>
        </w:tc>
        <w:tc>
          <w:tcPr>
            <w:tcW w:w="9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0.43</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w:t>
            </w:r>
          </w:p>
        </w:tc>
        <w:tc>
          <w:tcPr>
            <w:tcW w:w="9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1,865</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ind w:left="160"/>
              <w:spacing w:after="0" w:line="206" w:lineRule="exact"/>
              <w:rPr>
                <w:sz w:val="20"/>
                <w:szCs w:val="20"/>
                <w:color w:val="auto"/>
              </w:rPr>
            </w:pPr>
            <w:r>
              <w:rPr>
                <w:rFonts w:ascii="Arial" w:cs="Arial" w:eastAsia="Arial" w:hAnsi="Arial"/>
                <w:sz w:val="18"/>
                <w:szCs w:val="18"/>
                <w:color w:val="auto"/>
              </w:rPr>
              <w:t>Selected items impacting comparability - Adjusted net income</w:t>
            </w: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600" w:type="dxa"/>
            <w:vAlign w:val="bottom"/>
          </w:tcPr>
          <w:p>
            <w:pPr>
              <w:ind w:left="320"/>
              <w:spacing w:after="0" w:line="281" w:lineRule="exact"/>
              <w:rPr>
                <w:sz w:val="20"/>
                <w:szCs w:val="20"/>
                <w:color w:val="auto"/>
              </w:rPr>
            </w:pPr>
            <w:r>
              <w:rPr>
                <w:rFonts w:ascii="Arial" w:cs="Arial" w:eastAsia="Arial" w:hAnsi="Arial"/>
                <w:sz w:val="18"/>
                <w:szCs w:val="18"/>
                <w:color w:val="auto"/>
              </w:rPr>
              <w:t xml:space="preserve">attributable to PAA </w:t>
            </w:r>
            <w:r>
              <w:rPr>
                <w:rFonts w:ascii="Arial" w:cs="Arial" w:eastAsia="Arial" w:hAnsi="Arial"/>
                <w:sz w:val="30"/>
                <w:szCs w:val="30"/>
                <w:color w:val="auto"/>
                <w:vertAlign w:val="superscript"/>
              </w:rPr>
              <w:t>(2)</w:t>
            </w:r>
          </w:p>
        </w:tc>
        <w:tc>
          <w:tcPr>
            <w:tcW w:w="82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820" w:type="dxa"/>
            <w:vAlign w:val="bottom"/>
            <w:tcBorders>
              <w:top w:val="single" w:sz="8" w:color="auto"/>
            </w:tcBorders>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8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allocated to common unitholders</w:t>
            </w:r>
          </w:p>
        </w:tc>
        <w:tc>
          <w:tcPr>
            <w:tcW w:w="820" w:type="dxa"/>
            <w:vAlign w:val="bottom"/>
            <w:tcBorders>
              <w:top w:val="single" w:sz="8" w:color="auto"/>
              <w:bottom w:val="single" w:sz="8" w:color="auto"/>
            </w:tcBorders>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9"/>
                <w:szCs w:val="29"/>
                <w:color w:val="auto"/>
                <w:vertAlign w:val="superscript"/>
              </w:rPr>
              <w:t>(3)</w:t>
            </w:r>
          </w:p>
        </w:tc>
        <w:tc>
          <w:tcPr>
            <w:tcW w:w="8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ind w:left="160"/>
              <w:spacing w:after="0" w:line="269"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30"/>
                <w:szCs w:val="30"/>
                <w:color w:val="auto"/>
                <w:vertAlign w:val="superscript"/>
              </w:rPr>
              <w:t>(4)</w:t>
            </w:r>
          </w:p>
        </w:tc>
        <w:tc>
          <w:tcPr>
            <w:tcW w:w="82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0.52</w:t>
            </w:r>
          </w:p>
        </w:tc>
        <w:tc>
          <w:tcPr>
            <w:tcW w:w="9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0.43</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0" w:lineRule="exact"/>
        <w:rPr>
          <w:sz w:val="20"/>
          <w:szCs w:val="20"/>
          <w:color w:val="auto"/>
        </w:rPr>
      </w:pPr>
    </w:p>
    <w:p>
      <w:pPr>
        <w:ind w:left="340" w:right="20" w:hanging="332"/>
        <w:spacing w:after="0" w:line="218" w:lineRule="auto"/>
        <w:tabs>
          <w:tab w:leader="none" w:pos="34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88"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201" w:lineRule="exact"/>
        <w:rPr>
          <w:rFonts w:ascii="Arial" w:cs="Arial" w:eastAsia="Arial" w:hAnsi="Arial"/>
          <w:sz w:val="30"/>
          <w:szCs w:val="30"/>
          <w:color w:val="auto"/>
          <w:vertAlign w:val="superscript"/>
        </w:rPr>
      </w:pPr>
    </w:p>
    <w:p>
      <w:pPr>
        <w:ind w:left="340" w:right="160" w:hanging="332"/>
        <w:spacing w:after="0" w:line="207" w:lineRule="auto"/>
        <w:tabs>
          <w:tab w:leader="none" w:pos="340" w:val="left"/>
        </w:tabs>
        <w:numPr>
          <w:ilvl w:val="0"/>
          <w:numId w:val="12"/>
        </w:numPr>
        <w:rPr>
          <w:rFonts w:ascii="Arial" w:cs="Arial" w:eastAsia="Arial" w:hAnsi="Arial"/>
          <w:sz w:val="28"/>
          <w:szCs w:val="28"/>
          <w:color w:val="auto"/>
          <w:vertAlign w:val="superscript"/>
        </w:rPr>
      </w:pPr>
      <w:r>
        <w:rPr>
          <w:rFonts w:ascii="Arial" w:cs="Arial" w:eastAsia="Arial" w:hAnsi="Arial"/>
          <w:sz w:val="17"/>
          <w:szCs w:val="17"/>
          <w:color w:val="auto"/>
        </w:rPr>
        <w:t>The possible conversion of our Series A preferred units was excluded from the calculation of diluted adjusted net income per common unit for the three months ended September 30, 2019 and the three and nine months ended September 30, 2018 as the effect was antidilutive.</w:t>
      </w:r>
    </w:p>
    <w:p>
      <w:pPr>
        <w:spacing w:after="0" w:line="201" w:lineRule="exact"/>
        <w:rPr>
          <w:rFonts w:ascii="Arial" w:cs="Arial" w:eastAsia="Arial" w:hAnsi="Arial"/>
          <w:sz w:val="28"/>
          <w:szCs w:val="28"/>
          <w:color w:val="auto"/>
          <w:vertAlign w:val="superscript"/>
        </w:rPr>
      </w:pPr>
    </w:p>
    <w:p>
      <w:pPr>
        <w:ind w:left="340" w:right="40" w:hanging="332"/>
        <w:spacing w:after="0" w:line="218" w:lineRule="auto"/>
        <w:tabs>
          <w:tab w:leader="none" w:pos="34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30"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941"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 to Adjusted Net Income Per Common Unit Reconciliations: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36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Nine Months Ended</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87"/>
              </w:rPr>
              <w:t>September 30,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820" w:type="dxa"/>
            <w:vAlign w:val="bottom"/>
            <w:tcBorders>
              <w:top w:val="single" w:sz="8" w:color="auto"/>
            </w:tcBorders>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spacing w:after="0" w:line="269"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30"/>
                <w:szCs w:val="30"/>
                <w:color w:val="auto"/>
                <w:vertAlign w:val="superscript"/>
              </w:rPr>
              <w:t>(1)</w:t>
            </w:r>
          </w:p>
        </w:tc>
        <w:tc>
          <w:tcPr>
            <w:tcW w:w="82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(0.48)</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(0.43)</w:t>
            </w: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adjusted net income per common unit</w:t>
            </w:r>
          </w:p>
        </w:tc>
        <w:tc>
          <w:tcPr>
            <w:tcW w:w="82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0.55</w:t>
            </w:r>
          </w:p>
        </w:tc>
        <w:tc>
          <w:tcPr>
            <w:tcW w:w="94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0.87</w:t>
            </w:r>
          </w:p>
        </w:tc>
        <w:tc>
          <w:tcPr>
            <w:tcW w:w="88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w:t>
            </w:r>
          </w:p>
        </w:tc>
        <w:tc>
          <w:tcPr>
            <w:tcW w:w="9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spacing w:after="0" w:line="269"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30"/>
                <w:szCs w:val="30"/>
                <w:color w:val="auto"/>
                <w:vertAlign w:val="superscript"/>
              </w:rPr>
              <w:t>(1)</w:t>
            </w:r>
          </w:p>
        </w:tc>
        <w:tc>
          <w:tcPr>
            <w:tcW w:w="82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(0.44)</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82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0" w:lineRule="exact"/>
        <w:rPr>
          <w:sz w:val="20"/>
          <w:szCs w:val="20"/>
          <w:color w:val="auto"/>
        </w:rPr>
      </w:pPr>
    </w:p>
    <w:p>
      <w:pPr>
        <w:ind w:left="340" w:right="540" w:hanging="332"/>
        <w:spacing w:after="0" w:line="194" w:lineRule="auto"/>
        <w:tabs>
          <w:tab w:leader="none" w:pos="34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5"/>
          </w:tcPr>
          <w:p>
            <w:pPr>
              <w:ind w:left="22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tcPr>
          <w:p>
            <w:pPr>
              <w:spacing w:after="0"/>
              <w:rPr>
                <w:sz w:val="19"/>
                <w:szCs w:val="19"/>
                <w:color w:val="auto"/>
              </w:rPr>
            </w:pPr>
          </w:p>
        </w:tc>
        <w:tc>
          <w:tcPr>
            <w:tcW w:w="26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2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w w:val="99"/>
              </w:rPr>
              <w:t>Selected items impacting comparability per common unit</w:t>
            </w:r>
          </w:p>
        </w:tc>
        <w:tc>
          <w:tcPr>
            <w:tcW w:w="26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(0.83)</w:t>
            </w: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620" w:type="dxa"/>
            <w:vAlign w:val="bottom"/>
            <w:vMerge w:val="restart"/>
          </w:tcPr>
          <w:p>
            <w:pPr>
              <w:jc w:val="center"/>
              <w:ind w:right="110"/>
              <w:spacing w:after="0"/>
              <w:rPr>
                <w:sz w:val="20"/>
                <w:szCs w:val="20"/>
                <w:color w:val="auto"/>
              </w:rPr>
            </w:pPr>
            <w:r>
              <w:rPr>
                <w:rFonts w:ascii="Arial" w:cs="Arial" w:eastAsia="Arial" w:hAnsi="Arial"/>
                <w:sz w:val="18"/>
                <w:szCs w:val="18"/>
                <w:color w:val="auto"/>
                <w:w w:val="91"/>
              </w:rPr>
              <w:t>- more -</w:t>
            </w:r>
          </w:p>
        </w:tc>
        <w:tc>
          <w:tcPr>
            <w:tcW w:w="1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1720"/>
              <w:spacing w:after="0"/>
              <w:rPr>
                <w:sz w:val="20"/>
                <w:szCs w:val="20"/>
                <w:color w:val="auto"/>
              </w:rPr>
            </w:pPr>
            <w:r>
              <w:rPr>
                <w:rFonts w:ascii="Arial" w:cs="Arial" w:eastAsia="Arial" w:hAnsi="Arial"/>
                <w:sz w:val="18"/>
                <w:szCs w:val="18"/>
                <w:b w:val="1"/>
                <w:bCs w:val="1"/>
                <w:color w:val="auto"/>
              </w:rPr>
              <w:t>333 Clay Street, Suite 1600</w:t>
            </w:r>
          </w:p>
        </w:tc>
        <w:tc>
          <w:tcPr>
            <w:tcW w:w="26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Houston, Texas 77002</w:t>
            </w:r>
          </w:p>
        </w:tc>
        <w:tc>
          <w:tcPr>
            <w:tcW w:w="2740" w:type="dxa"/>
            <w:vAlign w:val="bottom"/>
            <w:gridSpan w:val="3"/>
          </w:tcPr>
          <w:p>
            <w:pPr>
              <w:jc w:val="right"/>
              <w:spacing w:after="0"/>
              <w:rPr>
                <w:sz w:val="20"/>
                <w:szCs w:val="20"/>
                <w:color w:val="auto"/>
              </w:rPr>
            </w:pPr>
            <w:r>
              <w:rPr>
                <w:rFonts w:ascii="Arial" w:cs="Arial" w:eastAsia="Arial" w:hAnsi="Arial"/>
                <w:sz w:val="18"/>
                <w:szCs w:val="18"/>
                <w:b w:val="1"/>
                <w:bCs w:val="1"/>
                <w:color w:val="auto"/>
              </w:rPr>
              <w:t>713-646-4100 / 866-809-1291</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5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38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Nine Months Ended</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87"/>
              </w:rPr>
              <w:t>September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to Adjusted EBITDA and Implied DCF Reconciliation</w:t>
            </w: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454</w:t>
            </w:r>
          </w:p>
        </w:tc>
        <w:tc>
          <w:tcPr>
            <w:tcW w:w="9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710</w:t>
            </w:r>
          </w:p>
        </w:tc>
        <w:tc>
          <w:tcPr>
            <w:tcW w:w="8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1,872</w:t>
            </w:r>
          </w:p>
        </w:tc>
        <w:tc>
          <w:tcPr>
            <w:tcW w:w="8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Income tax expense/(benefit)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(Gains)/losses on asset sales and asset impairments, net</w:t>
            </w:r>
          </w:p>
        </w:tc>
        <w:tc>
          <w:tcPr>
            <w:tcW w:w="8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investment in unconsolidated entities</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ind w:left="160"/>
              <w:spacing w:after="0" w:line="269"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30"/>
                <w:szCs w:val="30"/>
                <w:color w:val="auto"/>
                <w:vertAlign w:val="superscript"/>
              </w:rPr>
              <w:t>(1)</w:t>
            </w:r>
          </w:p>
        </w:tc>
        <w:tc>
          <w:tcPr>
            <w:tcW w:w="8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shd w:val="clear" w:color="auto" w:fill="CCEEFF"/>
          </w:tcPr>
          <w:p>
            <w:pPr>
              <w:ind w:left="160"/>
              <w:spacing w:after="0" w:line="269"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30"/>
                <w:szCs w:val="30"/>
                <w:color w:val="auto"/>
                <w:vertAlign w:val="superscript"/>
              </w:rPr>
              <w:t>(2)</w:t>
            </w:r>
          </w:p>
        </w:tc>
        <w:tc>
          <w:tcPr>
            <w:tcW w:w="8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Adjusted EBITDA</w:t>
            </w:r>
          </w:p>
        </w:tc>
        <w:tc>
          <w:tcPr>
            <w:tcW w:w="820" w:type="dxa"/>
            <w:vAlign w:val="bottom"/>
            <w:tcBorders>
              <w:top w:val="single" w:sz="8" w:color="auto"/>
            </w:tcBorders>
          </w:tcPr>
          <w:p>
            <w:pPr>
              <w:jc w:val="right"/>
              <w:ind w:right="662"/>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2,377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shd w:val="clear" w:color="auto" w:fill="CCEEFF"/>
          </w:tcPr>
          <w:p>
            <w:pPr>
              <w:ind w:left="160"/>
              <w:spacing w:after="0" w:line="269"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30"/>
                <w:szCs w:val="30"/>
                <w:color w:val="auto"/>
                <w:vertAlign w:val="superscript"/>
              </w:rPr>
              <w:t>(3)</w:t>
            </w:r>
          </w:p>
        </w:tc>
        <w:tc>
          <w:tcPr>
            <w:tcW w:w="8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w:t>
            </w:r>
          </w:p>
        </w:tc>
        <w:tc>
          <w:tcPr>
            <w:tcW w:w="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Maintenance capital</w:t>
            </w:r>
          </w:p>
        </w:tc>
        <w:tc>
          <w:tcPr>
            <w:tcW w:w="8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ind w:left="160"/>
              <w:spacing w:after="0" w:line="206" w:lineRule="exact"/>
              <w:rPr>
                <w:sz w:val="20"/>
                <w:szCs w:val="20"/>
                <w:color w:val="auto"/>
              </w:rPr>
            </w:pPr>
            <w:r>
              <w:rPr>
                <w:rFonts w:ascii="Arial" w:cs="Arial" w:eastAsia="Arial" w:hAnsi="Arial"/>
                <w:sz w:val="18"/>
                <w:szCs w:val="18"/>
                <w:color w:val="auto"/>
                <w:w w:val="96"/>
              </w:rPr>
              <w:t>Adjusted equity earnings in unconsolidated entities, net of distributions</w:t>
            </w:r>
          </w:p>
        </w:tc>
        <w:tc>
          <w:tcPr>
            <w:tcW w:w="820" w:type="dxa"/>
            <w:vAlign w:val="bottom"/>
          </w:tcPr>
          <w:p>
            <w:pPr>
              <w:spacing w:after="0"/>
              <w:rPr>
                <w:sz w:val="17"/>
                <w:szCs w:val="17"/>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7"/>
        </w:trPr>
        <w:tc>
          <w:tcPr>
            <w:tcW w:w="5620" w:type="dxa"/>
            <w:vAlign w:val="bottom"/>
            <w:gridSpan w:val="2"/>
          </w:tcPr>
          <w:p>
            <w:pPr>
              <w:ind w:left="180"/>
              <w:spacing w:after="0"/>
              <w:rPr>
                <w:sz w:val="20"/>
                <w:szCs w:val="20"/>
                <w:color w:val="auto"/>
              </w:rPr>
            </w:pPr>
            <w:r>
              <w:rPr>
                <w:rFonts w:ascii="Arial" w:cs="Arial" w:eastAsia="Arial" w:hAnsi="Arial"/>
                <w:sz w:val="15"/>
                <w:szCs w:val="15"/>
                <w:color w:val="auto"/>
              </w:rPr>
              <w:t>(4)</w:t>
            </w:r>
          </w:p>
        </w:tc>
        <w:tc>
          <w:tcPr>
            <w:tcW w:w="82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shd w:val="clear" w:color="auto" w:fill="CCEEFF"/>
          </w:tcPr>
          <w:p>
            <w:pPr>
              <w:ind w:left="160"/>
              <w:spacing w:after="0" w:line="269"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30"/>
                <w:szCs w:val="30"/>
                <w:color w:val="auto"/>
                <w:vertAlign w:val="superscript"/>
              </w:rPr>
              <w:t>(5)</w:t>
            </w:r>
          </w:p>
        </w:tc>
        <w:tc>
          <w:tcPr>
            <w:tcW w:w="8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Implied DCF</w:t>
            </w:r>
          </w:p>
        </w:tc>
        <w:tc>
          <w:tcPr>
            <w:tcW w:w="820" w:type="dxa"/>
            <w:vAlign w:val="bottom"/>
            <w:tcBorders>
              <w:top w:val="single" w:sz="8" w:color="auto"/>
            </w:tcBorders>
          </w:tcPr>
          <w:p>
            <w:pPr>
              <w:jc w:val="right"/>
              <w:ind w:right="662"/>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1,787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shd w:val="clear" w:color="auto" w:fill="CCEEFF"/>
          </w:tcPr>
          <w:p>
            <w:pPr>
              <w:ind w:left="160"/>
              <w:spacing w:after="0" w:line="269"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30"/>
                <w:szCs w:val="30"/>
                <w:color w:val="auto"/>
                <w:vertAlign w:val="superscript"/>
              </w:rPr>
              <w:t>(6)</w:t>
            </w:r>
          </w:p>
        </w:tc>
        <w:tc>
          <w:tcPr>
            <w:tcW w:w="8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Implied DCF Available to Common Unitholders</w:t>
            </w:r>
          </w:p>
        </w:tc>
        <w:tc>
          <w:tcPr>
            <w:tcW w:w="82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1,650</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1,107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 Average Common Units Outstanding</w:t>
            </w:r>
          </w:p>
        </w:tc>
        <w:tc>
          <w:tcPr>
            <w:tcW w:w="8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and Common Equivalent Units</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60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30"/>
                <w:szCs w:val="30"/>
                <w:color w:val="auto"/>
                <w:vertAlign w:val="superscript"/>
              </w:rPr>
              <w:t>(7)</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0.64</w:t>
            </w:r>
          </w:p>
        </w:tc>
        <w:tc>
          <w:tcPr>
            <w:tcW w:w="9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0.55</w:t>
            </w:r>
          </w:p>
        </w:tc>
        <w:tc>
          <w:tcPr>
            <w:tcW w:w="88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8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spacing w:after="0" w:line="269"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30"/>
                <w:szCs w:val="30"/>
                <w:color w:val="auto"/>
                <w:vertAlign w:val="superscript"/>
              </w:rPr>
              <w:t>(8)</w:t>
            </w: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0.63</w:t>
            </w:r>
          </w:p>
        </w:tc>
        <w:tc>
          <w:tcPr>
            <w:tcW w:w="9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0.54</w:t>
            </w:r>
          </w:p>
        </w:tc>
        <w:tc>
          <w:tcPr>
            <w:tcW w:w="8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2.21</w:t>
            </w:r>
          </w:p>
        </w:tc>
        <w:tc>
          <w:tcPr>
            <w:tcW w:w="8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Cash Distribution Paid per Common Unit</w:t>
            </w: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9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0.30</w:t>
            </w:r>
          </w:p>
        </w:tc>
        <w:tc>
          <w:tcPr>
            <w:tcW w:w="8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8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30"/>
                <w:szCs w:val="30"/>
                <w:color w:val="auto"/>
                <w:vertAlign w:val="superscript"/>
              </w:rPr>
              <w:t>(5)</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9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88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741</w:t>
            </w:r>
          </w:p>
        </w:tc>
        <w:tc>
          <w:tcPr>
            <w:tcW w:w="8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Common Unit Distribution Coverage Ratio</w:t>
            </w:r>
          </w:p>
        </w:tc>
        <w:tc>
          <w:tcPr>
            <w:tcW w:w="8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1.79x</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1.82x</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2.23x</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1.70x</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Implied DCF Excess / (Shortage)</w:t>
            </w: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9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178</w:t>
            </w:r>
          </w:p>
        </w:tc>
        <w:tc>
          <w:tcPr>
            <w:tcW w:w="8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909</w:t>
            </w:r>
          </w:p>
        </w:tc>
        <w:tc>
          <w:tcPr>
            <w:tcW w:w="8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8097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29" w:lineRule="exact"/>
        <w:rPr>
          <w:sz w:val="20"/>
          <w:szCs w:val="20"/>
          <w:color w:val="auto"/>
        </w:rPr>
      </w:pPr>
    </w:p>
    <w:p>
      <w:pPr>
        <w:ind w:left="340" w:right="800" w:hanging="332"/>
        <w:spacing w:after="0" w:line="194" w:lineRule="auto"/>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Adjustment to add back our proportionate share of depreciation and amortization expense of, and gains and losses on significant asset sales by, unconsolidated entities.</w:t>
      </w:r>
    </w:p>
    <w:p>
      <w:pPr>
        <w:spacing w:after="0" w:line="87"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63" w:lineRule="exact"/>
        <w:rPr>
          <w:rFonts w:ascii="Arial" w:cs="Arial" w:eastAsia="Arial" w:hAnsi="Arial"/>
          <w:sz w:val="30"/>
          <w:szCs w:val="30"/>
          <w:color w:val="auto"/>
          <w:vertAlign w:val="superscript"/>
        </w:rPr>
      </w:pPr>
    </w:p>
    <w:p>
      <w:pPr>
        <w:ind w:left="340" w:hanging="332"/>
        <w:spacing w:after="0" w:line="200" w:lineRule="auto"/>
        <w:tabs>
          <w:tab w:leader="none" w:pos="34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02" w:lineRule="exact"/>
        <w:rPr>
          <w:rFonts w:ascii="Arial" w:cs="Arial" w:eastAsia="Arial" w:hAnsi="Arial"/>
          <w:sz w:val="28"/>
          <w:szCs w:val="28"/>
          <w:color w:val="auto"/>
          <w:vertAlign w:val="superscript"/>
        </w:rPr>
      </w:pPr>
    </w:p>
    <w:p>
      <w:pPr>
        <w:ind w:left="340" w:right="20" w:hanging="332"/>
        <w:spacing w:after="0" w:line="194" w:lineRule="auto"/>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 and gains and losses on significant asset sales).</w:t>
      </w:r>
    </w:p>
    <w:p>
      <w:pPr>
        <w:spacing w:after="0" w:line="87"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Cash distributions paid during the period presented.</w:t>
      </w:r>
    </w:p>
    <w:p>
      <w:pPr>
        <w:spacing w:after="0" w:line="201" w:lineRule="exact"/>
        <w:rPr>
          <w:rFonts w:ascii="Arial" w:cs="Arial" w:eastAsia="Arial" w:hAnsi="Arial"/>
          <w:sz w:val="30"/>
          <w:szCs w:val="30"/>
          <w:color w:val="auto"/>
          <w:vertAlign w:val="superscript"/>
        </w:rPr>
      </w:pPr>
    </w:p>
    <w:p>
      <w:pPr>
        <w:ind w:left="340" w:hanging="332"/>
        <w:spacing w:after="0" w:line="218" w:lineRule="auto"/>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current $61.25 per unit annual distribution requirement of our Series B preferred units is payable semi-annually in arrears on May 15 and November 15.</w:t>
      </w:r>
    </w:p>
    <w:p>
      <w:pPr>
        <w:spacing w:after="0" w:line="88"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Implied DCF Available to Common Unitholders for the period divided by the weighted average common units outstanding for the period.</w:t>
      </w:r>
    </w:p>
    <w:p>
      <w:pPr>
        <w:spacing w:after="0" w:line="201" w:lineRule="exact"/>
        <w:rPr>
          <w:rFonts w:ascii="Arial" w:cs="Arial" w:eastAsia="Arial" w:hAnsi="Arial"/>
          <w:sz w:val="30"/>
          <w:szCs w:val="30"/>
          <w:color w:val="auto"/>
          <w:vertAlign w:val="superscript"/>
        </w:rPr>
      </w:pPr>
    </w:p>
    <w:p>
      <w:pPr>
        <w:ind w:left="340" w:right="340" w:hanging="332"/>
        <w:spacing w:after="0" w:line="218" w:lineRule="auto"/>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Implied DCF Available to Common Unitholders for the period, adjusted for Series A preferred unit cash distributions paid (if any), divided by the weighted average common units and common equivalent units outstanding for the periods. Our Series A preferred units are convertible into common units, generally on a one-for-one basis and subject to customary anti-dilution adjustments, in whole or in part, subject to certain minimum conversion amounts.</w:t>
      </w:r>
    </w:p>
    <w:p>
      <w:pPr>
        <w:sectPr>
          <w:pgSz w:w="11900" w:h="16838" w:orient="portrait"/>
          <w:cols w:equalWidth="0" w:num="1">
            <w:col w:w="11420"/>
          </w:cols>
          <w:pgMar w:left="240" w:top="908" w:right="239" w:bottom="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520"/>
        <w:spacing w:after="0"/>
        <w:tabs>
          <w:tab w:leader="none" w:pos="3640" w:val="left"/>
          <w:tab w:leader="none" w:pos="64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463550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300" w:type="dxa"/>
            <w:vAlign w:val="bottom"/>
            <w:gridSpan w:val="5"/>
          </w:tcPr>
          <w:p>
            <w:pPr>
              <w:jc w:val="right"/>
              <w:spacing w:after="0"/>
              <w:rPr>
                <w:sz w:val="20"/>
                <w:szCs w:val="20"/>
                <w:color w:val="auto"/>
              </w:rPr>
            </w:pPr>
            <w:r>
              <w:rPr>
                <w:rFonts w:ascii="Arial" w:cs="Arial" w:eastAsia="Arial" w:hAnsi="Arial"/>
                <w:sz w:val="18"/>
                <w:szCs w:val="18"/>
                <w:b w:val="1"/>
                <w:bCs w:val="1"/>
                <w:color w:val="auto"/>
              </w:rPr>
              <w:t>Twelve Months Ended</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to Adjusted EBITDA and Implied DCF Reconciliation</w:t>
            </w:r>
          </w:p>
        </w:tc>
        <w:tc>
          <w:tcPr>
            <w:tcW w:w="1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Net Income</w:t>
            </w:r>
          </w:p>
        </w:tc>
        <w:tc>
          <w:tcPr>
            <w:tcW w:w="23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2,216</w:t>
            </w:r>
          </w:p>
        </w:tc>
        <w:tc>
          <w:tcPr>
            <w:tcW w:w="8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(Gains)/losses on asset sales and asset impairments, net</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investment in unconsolidated entities</w:t>
            </w: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9"/>
                <w:szCs w:val="29"/>
                <w:color w:val="auto"/>
                <w:vertAlign w:val="superscript"/>
              </w:rPr>
              <w:t>(1)</w:t>
            </w:r>
          </w:p>
        </w:tc>
        <w:tc>
          <w:tcPr>
            <w:tcW w:w="1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Selected items impacting comparability - Adjusted EBITDA</w:t>
            </w:r>
          </w:p>
        </w:tc>
        <w:tc>
          <w:tcPr>
            <w:tcW w:w="1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EBITDA</w:t>
            </w:r>
          </w:p>
        </w:tc>
        <w:tc>
          <w:tcPr>
            <w:tcW w:w="152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2,684</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2,082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line="210" w:lineRule="exact"/>
              <w:rPr>
                <w:sz w:val="20"/>
                <w:szCs w:val="20"/>
                <w:color w:val="auto"/>
              </w:rPr>
            </w:pPr>
            <w:r>
              <w:rPr>
                <w:rFonts w:ascii="Arial" w:cs="Arial" w:eastAsia="Arial" w:hAnsi="Arial"/>
                <w:sz w:val="15"/>
                <w:szCs w:val="15"/>
                <w:color w:val="auto"/>
              </w:rPr>
              <w:t xml:space="preserve">Interest expense, net of certain non-cash items </w:t>
            </w:r>
            <w:r>
              <w:rPr>
                <w:rFonts w:ascii="Arial" w:cs="Arial" w:eastAsia="Arial" w:hAnsi="Arial"/>
                <w:sz w:val="24"/>
                <w:szCs w:val="24"/>
                <w:color w:val="auto"/>
                <w:vertAlign w:val="superscript"/>
              </w:rPr>
              <w:t>(2)</w:t>
            </w: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Maintenance capital</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9"/>
                <w:szCs w:val="29"/>
                <w:color w:val="auto"/>
                <w:vertAlign w:val="superscript"/>
              </w:rPr>
              <w:t>(3)</w:t>
            </w:r>
          </w:p>
        </w:tc>
        <w:tc>
          <w:tcPr>
            <w:tcW w:w="1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40" w:type="dxa"/>
            <w:vAlign w:val="bottom"/>
            <w:shd w:val="clear" w:color="auto" w:fill="CCEEFF"/>
          </w:tcPr>
          <w:p>
            <w:pPr>
              <w:ind w:left="160"/>
              <w:spacing w:after="0" w:line="269"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30"/>
                <w:szCs w:val="30"/>
                <w:color w:val="auto"/>
                <w:vertAlign w:val="superscript"/>
              </w:rPr>
              <w:t>(4)</w:t>
            </w:r>
          </w:p>
        </w:tc>
        <w:tc>
          <w:tcPr>
            <w:tcW w:w="15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Implied DCF</w:t>
            </w:r>
          </w:p>
        </w:tc>
        <w:tc>
          <w:tcPr>
            <w:tcW w:w="1520" w:type="dxa"/>
            <w:vAlign w:val="bottom"/>
          </w:tcPr>
          <w:p>
            <w:pPr>
              <w:spacing w:after="0"/>
              <w:rPr>
                <w:sz w:val="18"/>
                <w:szCs w:val="18"/>
                <w:color w:val="auto"/>
              </w:rPr>
            </w:pPr>
          </w:p>
        </w:tc>
        <w:tc>
          <w:tcPr>
            <w:tcW w:w="8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1,948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40" w:type="dxa"/>
            <w:vAlign w:val="bottom"/>
            <w:shd w:val="clear" w:color="auto" w:fill="CCEEFF"/>
          </w:tcPr>
          <w:p>
            <w:pPr>
              <w:ind w:left="160"/>
              <w:spacing w:after="0" w:line="269"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30"/>
                <w:szCs w:val="30"/>
                <w:color w:val="auto"/>
                <w:vertAlign w:val="superscript"/>
              </w:rPr>
              <w:t>(5)</w:t>
            </w:r>
          </w:p>
        </w:tc>
        <w:tc>
          <w:tcPr>
            <w:tcW w:w="15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w:t>
            </w:r>
          </w:p>
        </w:tc>
        <w:tc>
          <w:tcPr>
            <w:tcW w:w="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Implied DCF Available to Common Unitholders</w:t>
            </w:r>
          </w:p>
        </w:tc>
        <w:tc>
          <w:tcPr>
            <w:tcW w:w="152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1,787</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1,307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Weighted Average Common Units Outstanding</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726</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and Common Equivalent Units</w:t>
            </w: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9"/>
                <w:szCs w:val="29"/>
                <w:color w:val="auto"/>
                <w:vertAlign w:val="superscript"/>
              </w:rPr>
              <w:t>(6)</w:t>
            </w:r>
          </w:p>
        </w:tc>
        <w:tc>
          <w:tcPr>
            <w:tcW w:w="23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c>
          <w:tcPr>
            <w:tcW w:w="8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tcPr>
          <w:p>
            <w:pPr>
              <w:spacing w:after="0" w:line="256"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9"/>
                <w:szCs w:val="29"/>
                <w:color w:val="auto"/>
                <w:vertAlign w:val="superscript"/>
              </w:rPr>
              <w:t>(7)</w:t>
            </w:r>
          </w:p>
        </w:tc>
        <w:tc>
          <w:tcPr>
            <w:tcW w:w="23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2.38</w:t>
            </w:r>
          </w:p>
        </w:tc>
        <w:tc>
          <w:tcPr>
            <w:tcW w:w="8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Cash Distribution Paid per Common Unit</w:t>
            </w:r>
          </w:p>
        </w:tc>
        <w:tc>
          <w:tcPr>
            <w:tcW w:w="23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8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9"/>
                <w:szCs w:val="29"/>
                <w:color w:val="auto"/>
                <w:vertAlign w:val="superscript"/>
              </w:rPr>
              <w:t>(4)</w:t>
            </w:r>
          </w:p>
        </w:tc>
        <w:tc>
          <w:tcPr>
            <w:tcW w:w="23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w:t>
            </w:r>
          </w:p>
        </w:tc>
        <w:tc>
          <w:tcPr>
            <w:tcW w:w="8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Common Unit Distribution Coverage Ratio</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2.05x</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0.94x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Implied DCF Excess / (Shortage)</w:t>
            </w:r>
          </w:p>
        </w:tc>
        <w:tc>
          <w:tcPr>
            <w:tcW w:w="23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916</w:t>
            </w:r>
          </w:p>
        </w:tc>
        <w:tc>
          <w:tcPr>
            <w:tcW w:w="8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8097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6" w:lineRule="exact"/>
        <w:rPr>
          <w:sz w:val="20"/>
          <w:szCs w:val="20"/>
          <w:color w:val="auto"/>
        </w:rPr>
      </w:pPr>
    </w:p>
    <w:p>
      <w:pPr>
        <w:ind w:left="340" w:right="800" w:hanging="332"/>
        <w:spacing w:after="0" w:line="194" w:lineRule="auto"/>
        <w:tabs>
          <w:tab w:leader="none" w:pos="3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Adjustment to add back our proportionate share of depreciation and amortization expense of, and gains and losses on significant asset sales by, unconsolidated entities.</w:t>
      </w:r>
    </w:p>
    <w:p>
      <w:pPr>
        <w:spacing w:after="0" w:line="110"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01" w:lineRule="exact"/>
        <w:rPr>
          <w:rFonts w:ascii="Arial" w:cs="Arial" w:eastAsia="Arial" w:hAnsi="Arial"/>
          <w:sz w:val="28"/>
          <w:szCs w:val="28"/>
          <w:color w:val="auto"/>
          <w:vertAlign w:val="superscript"/>
        </w:rPr>
      </w:pPr>
    </w:p>
    <w:p>
      <w:pPr>
        <w:ind w:left="340" w:right="20" w:hanging="332"/>
        <w:spacing w:after="0" w:line="194" w:lineRule="auto"/>
        <w:tabs>
          <w:tab w:leader="none" w:pos="3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 and gains and losses on significant asset sales).</w:t>
      </w:r>
    </w:p>
    <w:p>
      <w:pPr>
        <w:spacing w:after="0" w:line="87"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Cash distributions paid during the period presented.</w:t>
      </w:r>
    </w:p>
    <w:p>
      <w:pPr>
        <w:spacing w:after="0" w:line="201" w:lineRule="exact"/>
        <w:rPr>
          <w:rFonts w:ascii="Arial" w:cs="Arial" w:eastAsia="Arial" w:hAnsi="Arial"/>
          <w:sz w:val="30"/>
          <w:szCs w:val="30"/>
          <w:color w:val="auto"/>
          <w:vertAlign w:val="superscript"/>
        </w:rPr>
      </w:pPr>
    </w:p>
    <w:p>
      <w:pPr>
        <w:ind w:left="340" w:right="140" w:hanging="332"/>
        <w:spacing w:after="0" w:line="224" w:lineRule="auto"/>
        <w:tabs>
          <w:tab w:leader="none" w:pos="3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Cash distributions paid to our preferred unitholders during the period presented. The $0.5250 quarterly ($2.10 annualized) per unit distribution requirement of our Series A preferred units was paid-in-kind for each quarterly distribution through February 2018. Distributions on our Series A preferred units have been paid in cash since the May 2018 quarterly distribution. The $61.25 per unit annual distribution requirement of our Series B preferred units is payable semi-annually in arrears on May 15 and November 15. A pro-rated initial distribution on the Series B preferred units was paid on November 15, 2017.</w:t>
      </w:r>
    </w:p>
    <w:p>
      <w:pPr>
        <w:spacing w:after="0" w:line="87"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Implied DCF Available to Common Unitholders for the period divided by the weighted average common units outstanding for the period.</w:t>
      </w:r>
    </w:p>
    <w:p>
      <w:pPr>
        <w:spacing w:after="0" w:line="201" w:lineRule="exact"/>
        <w:rPr>
          <w:rFonts w:ascii="Arial" w:cs="Arial" w:eastAsia="Arial" w:hAnsi="Arial"/>
          <w:sz w:val="30"/>
          <w:szCs w:val="30"/>
          <w:color w:val="auto"/>
          <w:vertAlign w:val="superscript"/>
        </w:rPr>
      </w:pPr>
    </w:p>
    <w:p>
      <w:pPr>
        <w:ind w:left="340" w:right="340" w:hanging="332"/>
        <w:spacing w:after="0" w:line="218" w:lineRule="auto"/>
        <w:tabs>
          <w:tab w:leader="none" w:pos="3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Implied DCF Available to Common Unitholders for the period, adjusted for Series A preferred unit cash distributions paid (if any), divided by the weighted average common units and common equivalent units outstanding for the period. Our Series A preferred units are convertible into common units, generally on a one-for-one basis and subject to customary anti-dilution adjustments, in whole or in part, subject to certain minimum conversion amounts.</w:t>
      </w:r>
    </w:p>
    <w:p>
      <w:pPr>
        <w:spacing w:after="0" w:line="203"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908" w:right="239" w:bottom="0" w:gutter="0" w:footer="0" w:header="0"/>
        </w:sectPr>
      </w:pPr>
    </w:p>
    <w:bookmarkStart w:id="21" w:name="page22"/>
    <w:bookmarkEnd w:id="21"/>
    <w:p>
      <w:pPr>
        <w:spacing w:after="0"/>
        <w:tabs>
          <w:tab w:leader="none" w:pos="4840" w:val="left"/>
          <w:tab w:leader="none" w:pos="7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 to Implied DCF Per Common Unit and Common Equivalent Unit Reconciliations: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36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820" w:type="dxa"/>
            <w:vAlign w:val="bottom"/>
            <w:tcBorders>
              <w:top w:val="single" w:sz="8" w:color="auto"/>
            </w:tcBorders>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spacing w:after="0" w:line="269"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30"/>
                <w:szCs w:val="30"/>
                <w:color w:val="auto"/>
                <w:vertAlign w:val="superscript"/>
              </w:rPr>
              <w:t>(1) (2)</w:t>
            </w:r>
          </w:p>
        </w:tc>
        <w:tc>
          <w:tcPr>
            <w:tcW w:w="820" w:type="dxa"/>
            <w:vAlign w:val="bottom"/>
          </w:tcPr>
          <w:p>
            <w:pPr>
              <w:spacing w:after="0"/>
              <w:rPr>
                <w:sz w:val="23"/>
                <w:szCs w:val="2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w:t>
            </w:r>
          </w:p>
        </w:tc>
        <w:tc>
          <w:tcPr>
            <w:tcW w:w="82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0.55</w:t>
            </w:r>
          </w:p>
        </w:tc>
        <w:tc>
          <w:tcPr>
            <w:tcW w:w="9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0.91</w:t>
            </w:r>
          </w:p>
        </w:tc>
        <w:tc>
          <w:tcPr>
            <w:tcW w:w="34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spacing w:after="0" w:line="269" w:lineRule="exact"/>
              <w:rPr>
                <w:sz w:val="20"/>
                <w:szCs w:val="20"/>
                <w:color w:val="auto"/>
              </w:rPr>
            </w:pPr>
            <w:r>
              <w:rPr>
                <w:rFonts w:ascii="Arial" w:cs="Arial" w:eastAsia="Arial" w:hAnsi="Arial"/>
                <w:sz w:val="18"/>
                <w:szCs w:val="18"/>
                <w:color w:val="auto"/>
                <w:w w:val="97"/>
              </w:rPr>
              <w:t xml:space="preserve">Reconciling items per common unit and common equivalent unit </w:t>
            </w:r>
            <w:r>
              <w:rPr>
                <w:rFonts w:ascii="Arial" w:cs="Arial" w:eastAsia="Arial" w:hAnsi="Arial"/>
                <w:sz w:val="30"/>
                <w:szCs w:val="30"/>
                <w:color w:val="auto"/>
                <w:w w:val="97"/>
                <w:vertAlign w:val="superscript"/>
              </w:rPr>
              <w:t>(1) (3)</w:t>
            </w:r>
          </w:p>
        </w:tc>
        <w:tc>
          <w:tcPr>
            <w:tcW w:w="820" w:type="dxa"/>
            <w:vAlign w:val="bottom"/>
          </w:tcPr>
          <w:p>
            <w:pPr>
              <w:spacing w:after="0"/>
              <w:rPr>
                <w:sz w:val="23"/>
                <w:szCs w:val="2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(0.37)</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 and common equivalent unit</w:t>
            </w:r>
          </w:p>
        </w:tc>
        <w:tc>
          <w:tcPr>
            <w:tcW w:w="82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0"/>
              </w:rPr>
              <w:t>Twelve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0"/>
              </w:rPr>
              <w:t>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spacing w:after="0" w:line="269"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30"/>
                <w:szCs w:val="30"/>
                <w:color w:val="auto"/>
                <w:vertAlign w:val="superscript"/>
              </w:rPr>
              <w:t>(1) (4)</w:t>
            </w: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spacing w:after="0" w:line="269" w:lineRule="exact"/>
              <w:rPr>
                <w:sz w:val="20"/>
                <w:szCs w:val="20"/>
                <w:color w:val="auto"/>
              </w:rPr>
            </w:pPr>
            <w:r>
              <w:rPr>
                <w:rFonts w:ascii="Arial" w:cs="Arial" w:eastAsia="Arial" w:hAnsi="Arial"/>
                <w:sz w:val="18"/>
                <w:szCs w:val="18"/>
                <w:color w:val="auto"/>
                <w:w w:val="97"/>
              </w:rPr>
              <w:t xml:space="preserve">Reconciling items per common unit and common equivalent unit </w:t>
            </w:r>
            <w:r>
              <w:rPr>
                <w:rFonts w:ascii="Arial" w:cs="Arial" w:eastAsia="Arial" w:hAnsi="Arial"/>
                <w:sz w:val="30"/>
                <w:szCs w:val="30"/>
                <w:color w:val="auto"/>
                <w:w w:val="97"/>
                <w:vertAlign w:val="superscript"/>
              </w:rPr>
              <w:t>(1) (5)</w:t>
            </w: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 and common equivalent unit</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0" w:lineRule="exact"/>
        <w:rPr>
          <w:sz w:val="20"/>
          <w:szCs w:val="20"/>
          <w:color w:val="auto"/>
        </w:rPr>
      </w:pPr>
    </w:p>
    <w:p>
      <w:pPr>
        <w:ind w:left="340" w:right="460" w:hanging="332"/>
        <w:spacing w:after="0" w:line="194" w:lineRule="auto"/>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and Implied DCF Reconciliation” table for additional information.</w:t>
      </w:r>
    </w:p>
    <w:p>
      <w:pPr>
        <w:spacing w:after="0" w:line="87"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common units outstanding for the period of 728 million, 726 million, 727 million and 726 million, respectively.</w:t>
      </w:r>
    </w:p>
    <w:p>
      <w:pPr>
        <w:spacing w:after="0" w:line="201" w:lineRule="exact"/>
        <w:rPr>
          <w:rFonts w:ascii="Arial" w:cs="Arial" w:eastAsia="Arial" w:hAnsi="Arial"/>
          <w:sz w:val="30"/>
          <w:szCs w:val="30"/>
          <w:color w:val="auto"/>
          <w:vertAlign w:val="superscript"/>
        </w:rPr>
      </w:pPr>
    </w:p>
    <w:p>
      <w:pPr>
        <w:ind w:left="340" w:right="160" w:hanging="332"/>
        <w:spacing w:after="0" w:line="194" w:lineRule="auto"/>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87"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common units outstanding for the period of 726 million and 717 million, respectively.</w:t>
      </w:r>
    </w:p>
    <w:p>
      <w:pPr>
        <w:spacing w:after="0" w:line="201" w:lineRule="exact"/>
        <w:rPr>
          <w:rFonts w:ascii="Arial" w:cs="Arial" w:eastAsia="Arial" w:hAnsi="Arial"/>
          <w:sz w:val="30"/>
          <w:szCs w:val="30"/>
          <w:color w:val="auto"/>
          <w:vertAlign w:val="superscript"/>
        </w:rPr>
      </w:pPr>
    </w:p>
    <w:p>
      <w:pPr>
        <w:ind w:left="340" w:right="180" w:hanging="332"/>
        <w:spacing w:after="0" w:line="194" w:lineRule="auto"/>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for the period of approximately 71 million and 67 million, respectively.</w:t>
      </w:r>
    </w:p>
    <w:p>
      <w:pPr>
        <w:spacing w:after="0" w:line="202"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40" w:type="dxa"/>
            <w:vAlign w:val="bottom"/>
            <w:gridSpan w:val="5"/>
          </w:tcPr>
          <w:p>
            <w:pPr>
              <w:jc w:val="right"/>
              <w:ind w:right="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80" w:type="dxa"/>
            <w:vAlign w:val="bottom"/>
            <w:gridSpan w:val="6"/>
          </w:tcPr>
          <w:p>
            <w:pPr>
              <w:jc w:val="center"/>
              <w:ind w:left="519"/>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w w:val="92"/>
              </w:rPr>
              <w:t>September 30, 2019</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6"/>
                <w:szCs w:val="16"/>
                <w:b w:val="1"/>
                <w:bCs w:val="1"/>
                <w:color w:val="auto"/>
                <w:w w:val="90"/>
              </w:rPr>
              <w:t>September 30, 2018</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Supply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Supply and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w w:val="92"/>
              </w:rPr>
              <w:t>Transportation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Facilities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Logistics</w:t>
            </w:r>
          </w:p>
        </w:tc>
        <w:tc>
          <w:tcPr>
            <w:tcW w:w="120" w:type="dxa"/>
            <w:vAlign w:val="bottom"/>
          </w:tcPr>
          <w:p>
            <w:pPr>
              <w:spacing w:after="0"/>
              <w:rPr>
                <w:sz w:val="18"/>
                <w:szCs w:val="18"/>
                <w:color w:val="auto"/>
              </w:rPr>
            </w:pPr>
          </w:p>
        </w:tc>
        <w:tc>
          <w:tcPr>
            <w:tcW w:w="1260" w:type="dxa"/>
            <w:vAlign w:val="bottom"/>
            <w:gridSpan w:val="4"/>
          </w:tcPr>
          <w:p>
            <w:pPr>
              <w:ind w:left="100"/>
              <w:spacing w:after="0"/>
              <w:rPr>
                <w:sz w:val="20"/>
                <w:szCs w:val="20"/>
                <w:color w:val="auto"/>
              </w:rPr>
            </w:pPr>
            <w:r>
              <w:rPr>
                <w:rFonts w:ascii="Arial" w:cs="Arial" w:eastAsia="Arial" w:hAnsi="Arial"/>
                <w:sz w:val="16"/>
                <w:szCs w:val="16"/>
                <w:b w:val="1"/>
                <w:bCs w:val="1"/>
                <w:color w:val="auto"/>
              </w:rPr>
              <w:t>Transportation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Facilities</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9"/>
              </w:rPr>
              <w:t>Logistics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shd w:val="clear" w:color="auto" w:fill="CCEEFF"/>
          </w:tcPr>
          <w:p>
            <w:pPr>
              <w:spacing w:after="0" w:line="249" w:lineRule="exact"/>
              <w:rPr>
                <w:sz w:val="20"/>
                <w:szCs w:val="20"/>
                <w:color w:val="auto"/>
              </w:rPr>
            </w:pPr>
            <w:r>
              <w:rPr>
                <w:rFonts w:ascii="Arial" w:cs="Arial" w:eastAsia="Arial" w:hAnsi="Arial"/>
                <w:sz w:val="16"/>
                <w:szCs w:val="16"/>
                <w:color w:val="auto"/>
              </w:rPr>
              <w:t xml:space="preserve">Revenues </w:t>
            </w:r>
            <w:r>
              <w:rPr>
                <w:rFonts w:ascii="Arial" w:cs="Arial" w:eastAsia="Arial" w:hAnsi="Arial"/>
                <w:sz w:val="27"/>
                <w:szCs w:val="27"/>
                <w:color w:val="auto"/>
                <w:vertAlign w:val="superscript"/>
              </w:rPr>
              <w:t>(1)</w:t>
            </w: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vMerge w:val="continue"/>
            <w:shd w:val="clear" w:color="auto" w:fill="CCEEFF"/>
          </w:tcPr>
          <w:p>
            <w:pPr>
              <w:spacing w:after="0"/>
              <w:rPr>
                <w:sz w:val="19"/>
                <w:szCs w:val="19"/>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7,542</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498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8,483</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line="242" w:lineRule="exact"/>
              <w:rPr>
                <w:sz w:val="20"/>
                <w:szCs w:val="20"/>
                <w:color w:val="auto"/>
              </w:rPr>
            </w:pPr>
            <w:r>
              <w:rPr>
                <w:rFonts w:ascii="Arial" w:cs="Arial" w:eastAsia="Arial" w:hAnsi="Arial"/>
                <w:sz w:val="16"/>
                <w:szCs w:val="16"/>
                <w:color w:val="auto"/>
              </w:rPr>
              <w:t xml:space="preserve">Purchases and related costs </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(7,337)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(8,191)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rPr>
              <w:t xml:space="preserve">Field operating costs </w:t>
            </w:r>
            <w:r>
              <w:rPr>
                <w:rFonts w:ascii="Arial" w:cs="Arial" w:eastAsia="Arial" w:hAnsi="Arial"/>
                <w:sz w:val="27"/>
                <w:szCs w:val="27"/>
                <w:color w:val="auto"/>
                <w:vertAlign w:val="superscript"/>
              </w:rPr>
              <w:t>(1) (2)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(172)</w:t>
            </w: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line="242" w:lineRule="exact"/>
              <w:rPr>
                <w:sz w:val="20"/>
                <w:szCs w:val="20"/>
                <w:color w:val="auto"/>
              </w:rPr>
            </w:pPr>
            <w:r>
              <w:rPr>
                <w:rFonts w:ascii="Arial" w:cs="Arial" w:eastAsia="Arial" w:hAnsi="Arial"/>
                <w:sz w:val="16"/>
                <w:szCs w:val="16"/>
                <w:color w:val="auto"/>
              </w:rPr>
              <w:t xml:space="preserve">Segment general and administrative expenses </w:t>
            </w:r>
            <w:r>
              <w:rPr>
                <w:rFonts w:ascii="Arial" w:cs="Arial" w:eastAsia="Arial" w:hAnsi="Arial"/>
                <w:sz w:val="27"/>
                <w:szCs w:val="27"/>
                <w:color w:val="auto"/>
                <w:vertAlign w:val="superscript"/>
              </w:rPr>
              <w:t>(2) (3)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(26)</w:t>
            </w: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Equity earnings in unconsolidated entities</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2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rPr>
              <w:t xml:space="preserve">Adjustments: </w:t>
            </w:r>
            <w:r>
              <w:rPr>
                <w:rFonts w:ascii="Arial" w:cs="Arial" w:eastAsia="Arial" w:hAnsi="Arial"/>
                <w:sz w:val="27"/>
                <w:szCs w:val="27"/>
                <w:color w:val="auto"/>
                <w:vertAlign w:val="superscript"/>
              </w:rPr>
              <w:t>(4)</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w w:val="94"/>
              </w:rPr>
              <w:t>Depreciation and amortization of unconsolidated entities</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Gains from derivative activities, net of inventory</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valuation adjustments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Long-term inventory costing adjustments</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Deficiencies under minimum volume commitments, net</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Equity-indexed compensation expense</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gain on foreign currency revaluation</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tcPr>
          <w:p>
            <w:pPr>
              <w:spacing w:after="0"/>
              <w:rPr>
                <w:sz w:val="20"/>
                <w:szCs w:val="20"/>
                <w:color w:val="auto"/>
              </w:rPr>
            </w:pPr>
            <w:r>
              <w:rPr>
                <w:rFonts w:ascii="Arial" w:cs="Arial" w:eastAsia="Arial" w:hAnsi="Arial"/>
                <w:sz w:val="16"/>
                <w:szCs w:val="16"/>
                <w:color w:val="auto"/>
              </w:rPr>
              <w:t>Segment Adjusted EBITDA</w:t>
            </w: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3920" w:type="dxa"/>
            <w:vAlign w:val="bottom"/>
            <w:vMerge w:val="continue"/>
          </w:tcPr>
          <w:p>
            <w:pPr>
              <w:spacing w:after="0"/>
              <w:rPr>
                <w:sz w:val="21"/>
                <w:szCs w:val="21"/>
                <w:color w:val="auto"/>
              </w:rPr>
            </w:pPr>
          </w:p>
        </w:tc>
        <w:tc>
          <w:tcPr>
            <w:tcW w:w="5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462</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173</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92</w:t>
            </w: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39"/>
              <w:spacing w:after="0"/>
              <w:rPr>
                <w:sz w:val="20"/>
                <w:szCs w:val="20"/>
                <w:color w:val="auto"/>
              </w:rPr>
            </w:pPr>
            <w:r>
              <w:rPr>
                <w:rFonts w:ascii="Arial" w:cs="Arial" w:eastAsia="Arial" w:hAnsi="Arial"/>
                <w:sz w:val="16"/>
                <w:szCs w:val="16"/>
                <w:color w:val="auto"/>
              </w:rPr>
              <w:t>388</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39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Maintenance capital</w:t>
            </w:r>
          </w:p>
        </w:tc>
        <w:tc>
          <w:tcPr>
            <w:tcW w:w="5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15</w:t>
            </w: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39"/>
              <w:spacing w:after="0"/>
              <w:rPr>
                <w:sz w:val="20"/>
                <w:szCs w:val="20"/>
                <w:color w:val="auto"/>
              </w:rPr>
            </w:pPr>
            <w:r>
              <w:rPr>
                <w:rFonts w:ascii="Arial" w:cs="Arial" w:eastAsia="Arial" w:hAnsi="Arial"/>
                <w:sz w:val="16"/>
                <w:szCs w:val="16"/>
                <w:color w:val="auto"/>
              </w:rPr>
              <w:t>41</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7"/>
          <w:szCs w:val="27"/>
          <w:color w:val="auto"/>
          <w:vertAlign w:val="superscript"/>
        </w:rPr>
      </w:pPr>
      <w:r>
        <w:rPr>
          <w:rFonts w:ascii="Arial" w:cs="Arial" w:eastAsia="Arial" w:hAnsi="Arial"/>
          <w:sz w:val="16"/>
          <w:szCs w:val="16"/>
          <w:color w:val="auto"/>
        </w:rPr>
        <w:t>Includes intersegment amounts.</w:t>
      </w:r>
    </w:p>
    <w:p>
      <w:pPr>
        <w:spacing w:after="0" w:line="145" w:lineRule="exact"/>
        <w:rPr>
          <w:rFonts w:ascii="Arial" w:cs="Arial" w:eastAsia="Arial" w:hAnsi="Arial"/>
          <w:sz w:val="27"/>
          <w:szCs w:val="27"/>
          <w:color w:val="auto"/>
          <w:vertAlign w:val="superscript"/>
        </w:rPr>
      </w:pPr>
    </w:p>
    <w:p>
      <w:pPr>
        <w:ind w:left="340" w:hanging="332"/>
        <w:spacing w:after="0" w:line="211" w:lineRule="auto"/>
        <w:tabs>
          <w:tab w:leader="none" w:pos="340" w:val="left"/>
        </w:tabs>
        <w:numPr>
          <w:ilvl w:val="0"/>
          <w:numId w:val="17"/>
        </w:numPr>
        <w:rPr>
          <w:rFonts w:ascii="Arial" w:cs="Arial" w:eastAsia="Arial" w:hAnsi="Arial"/>
          <w:sz w:val="27"/>
          <w:szCs w:val="27"/>
          <w:color w:val="auto"/>
          <w:vertAlign w:val="superscript"/>
        </w:rPr>
      </w:pPr>
      <w:r>
        <w:rPr>
          <w:rFonts w:ascii="Arial" w:cs="Arial" w:eastAsia="Arial" w:hAnsi="Arial"/>
          <w:sz w:val="16"/>
          <w:szCs w:val="16"/>
          <w:color w:val="auto"/>
        </w:rPr>
        <w:t>Field operating costs and Segment general and administrative expenses include equity-indexed compensation expense.</w:t>
      </w:r>
    </w:p>
    <w:p>
      <w:pPr>
        <w:spacing w:after="0" w:line="212" w:lineRule="exact"/>
        <w:rPr>
          <w:rFonts w:ascii="Arial" w:cs="Arial" w:eastAsia="Arial" w:hAnsi="Arial"/>
          <w:sz w:val="27"/>
          <w:szCs w:val="27"/>
          <w:color w:val="auto"/>
          <w:vertAlign w:val="superscript"/>
        </w:rPr>
      </w:pPr>
    </w:p>
    <w:p>
      <w:pPr>
        <w:ind w:left="340" w:right="500" w:hanging="332"/>
        <w:spacing w:after="0" w:line="198" w:lineRule="auto"/>
        <w:tabs>
          <w:tab w:leader="none" w:pos="340" w:val="left"/>
        </w:tabs>
        <w:numPr>
          <w:ilvl w:val="0"/>
          <w:numId w:val="17"/>
        </w:numPr>
        <w:rPr>
          <w:rFonts w:ascii="Arial" w:cs="Arial" w:eastAsia="Arial" w:hAnsi="Arial"/>
          <w:sz w:val="27"/>
          <w:szCs w:val="27"/>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13" w:lineRule="exact"/>
        <w:rPr>
          <w:rFonts w:ascii="Arial" w:cs="Arial" w:eastAsia="Arial" w:hAnsi="Arial"/>
          <w:sz w:val="27"/>
          <w:szCs w:val="27"/>
          <w:color w:val="auto"/>
          <w:vertAlign w:val="superscript"/>
        </w:rPr>
      </w:pPr>
    </w:p>
    <w:p>
      <w:pPr>
        <w:ind w:left="340" w:right="180" w:hanging="332"/>
        <w:spacing w:after="0" w:line="216" w:lineRule="auto"/>
        <w:tabs>
          <w:tab w:leader="none" w:pos="340" w:val="left"/>
        </w:tabs>
        <w:numPr>
          <w:ilvl w:val="0"/>
          <w:numId w:val="17"/>
        </w:numPr>
        <w:rPr>
          <w:rFonts w:ascii="Arial" w:cs="Arial" w:eastAsia="Arial" w:hAnsi="Arial"/>
          <w:sz w:val="27"/>
          <w:szCs w:val="27"/>
          <w:color w:val="auto"/>
          <w:vertAlign w:val="superscript"/>
        </w:rPr>
      </w:pPr>
      <w:r>
        <w:rPr>
          <w:rFonts w:ascii="Arial" w:cs="Arial" w:eastAsia="Arial" w:hAnsi="Arial"/>
          <w:sz w:val="16"/>
          <w:szCs w:val="16"/>
          <w:color w:val="auto"/>
        </w:rPr>
        <w:t>Represents adjustments utilized by our Chief Operating Decision Maker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8" w:lineRule="exact"/>
        <w:rPr>
          <w:rFonts w:ascii="Arial" w:cs="Arial" w:eastAsia="Arial" w:hAnsi="Arial"/>
          <w:sz w:val="27"/>
          <w:szCs w:val="27"/>
          <w:color w:val="auto"/>
          <w:vertAlign w:val="superscript"/>
        </w:rPr>
      </w:pPr>
    </w:p>
    <w:p>
      <w:pPr>
        <w:ind w:left="5520" w:hanging="96"/>
        <w:spacing w:after="0"/>
        <w:tabs>
          <w:tab w:leader="none" w:pos="55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6"/>
                <w:szCs w:val="16"/>
                <w:b w:val="1"/>
                <w:bCs w:val="1"/>
                <w:color w:val="auto"/>
                <w:w w:val="93"/>
              </w:rPr>
              <w:t>Nine Months Ended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4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93"/>
              </w:rPr>
              <w:t>Nine Months Ended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w w:val="92"/>
              </w:rPr>
              <w:t>September 30, 2019</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6"/>
                <w:szCs w:val="16"/>
                <w:b w:val="1"/>
                <w:bCs w:val="1"/>
                <w:color w:val="auto"/>
                <w:w w:val="90"/>
              </w:rPr>
              <w:t>September 30, 2018</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Supply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Supply and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w w:val="92"/>
              </w:rPr>
              <w:t>Transportation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Facilities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Logistics</w:t>
            </w:r>
          </w:p>
        </w:tc>
        <w:tc>
          <w:tcPr>
            <w:tcW w:w="120" w:type="dxa"/>
            <w:vAlign w:val="bottom"/>
          </w:tcPr>
          <w:p>
            <w:pPr>
              <w:spacing w:after="0"/>
              <w:rPr>
                <w:sz w:val="18"/>
                <w:szCs w:val="18"/>
                <w:color w:val="auto"/>
              </w:rPr>
            </w:pPr>
          </w:p>
        </w:tc>
        <w:tc>
          <w:tcPr>
            <w:tcW w:w="1260" w:type="dxa"/>
            <w:vAlign w:val="bottom"/>
            <w:gridSpan w:val="4"/>
          </w:tcPr>
          <w:p>
            <w:pPr>
              <w:ind w:left="100"/>
              <w:spacing w:after="0"/>
              <w:rPr>
                <w:sz w:val="20"/>
                <w:szCs w:val="20"/>
                <w:color w:val="auto"/>
              </w:rPr>
            </w:pPr>
            <w:r>
              <w:rPr>
                <w:rFonts w:ascii="Arial" w:cs="Arial" w:eastAsia="Arial" w:hAnsi="Arial"/>
                <w:sz w:val="16"/>
                <w:szCs w:val="16"/>
                <w:b w:val="1"/>
                <w:bCs w:val="1"/>
                <w:color w:val="auto"/>
              </w:rPr>
              <w:t>Transportation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Facilities</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9"/>
              </w:rPr>
              <w:t>Logistics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shd w:val="clear" w:color="auto" w:fill="CCEEFF"/>
          </w:tcPr>
          <w:p>
            <w:pPr>
              <w:spacing w:after="0" w:line="249" w:lineRule="exact"/>
              <w:rPr>
                <w:sz w:val="20"/>
                <w:szCs w:val="20"/>
                <w:color w:val="auto"/>
              </w:rPr>
            </w:pPr>
            <w:r>
              <w:rPr>
                <w:rFonts w:ascii="Arial" w:cs="Arial" w:eastAsia="Arial" w:hAnsi="Arial"/>
                <w:sz w:val="16"/>
                <w:szCs w:val="16"/>
                <w:color w:val="auto"/>
              </w:rPr>
              <w:t xml:space="preserve">Revenues </w:t>
            </w:r>
            <w:r>
              <w:rPr>
                <w:rFonts w:ascii="Arial" w:cs="Arial" w:eastAsia="Arial" w:hAnsi="Arial"/>
                <w:sz w:val="27"/>
                <w:szCs w:val="27"/>
                <w:color w:val="auto"/>
                <w:vertAlign w:val="superscript"/>
              </w:rPr>
              <w:t>(1)</w:t>
            </w: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vMerge w:val="continue"/>
            <w:shd w:val="clear" w:color="auto" w:fill="CCEEFF"/>
          </w:tcPr>
          <w:p>
            <w:pPr>
              <w:spacing w:after="0"/>
              <w:rPr>
                <w:sz w:val="19"/>
                <w:szCs w:val="19"/>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23,480</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1,427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24,376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line="242" w:lineRule="exact"/>
              <w:rPr>
                <w:sz w:val="20"/>
                <w:szCs w:val="20"/>
                <w:color w:val="auto"/>
              </w:rPr>
            </w:pPr>
            <w:r>
              <w:rPr>
                <w:rFonts w:ascii="Arial" w:cs="Arial" w:eastAsia="Arial" w:hAnsi="Arial"/>
                <w:sz w:val="16"/>
                <w:szCs w:val="16"/>
                <w:color w:val="auto"/>
              </w:rPr>
              <w:t xml:space="preserve">Purchases and related costs </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(155)</w:t>
            </w: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(22,599)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(24,076)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rPr>
              <w:t xml:space="preserve">Field operating costs </w:t>
            </w:r>
            <w:r>
              <w:rPr>
                <w:rFonts w:ascii="Arial" w:cs="Arial" w:eastAsia="Arial" w:hAnsi="Arial"/>
                <w:sz w:val="27"/>
                <w:szCs w:val="27"/>
                <w:color w:val="auto"/>
                <w:vertAlign w:val="superscript"/>
              </w:rPr>
              <w:t>(1) (2)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(532)</w:t>
            </w: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line="242" w:lineRule="exact"/>
              <w:rPr>
                <w:sz w:val="20"/>
                <w:szCs w:val="20"/>
                <w:color w:val="auto"/>
              </w:rPr>
            </w:pPr>
            <w:r>
              <w:rPr>
                <w:rFonts w:ascii="Arial" w:cs="Arial" w:eastAsia="Arial" w:hAnsi="Arial"/>
                <w:sz w:val="16"/>
                <w:szCs w:val="16"/>
                <w:color w:val="auto"/>
              </w:rPr>
              <w:t xml:space="preserve">Segment general and administrative expenses </w:t>
            </w:r>
            <w:r>
              <w:rPr>
                <w:rFonts w:ascii="Arial" w:cs="Arial" w:eastAsia="Arial" w:hAnsi="Arial"/>
                <w:sz w:val="27"/>
                <w:szCs w:val="27"/>
                <w:color w:val="auto"/>
                <w:vertAlign w:val="superscript"/>
              </w:rPr>
              <w:t>(2) (3)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(80)</w:t>
            </w: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Equity earnings in unconsolidated entities</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2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rPr>
              <w:t xml:space="preserve">Adjustments: </w:t>
            </w:r>
            <w:r>
              <w:rPr>
                <w:rFonts w:ascii="Arial" w:cs="Arial" w:eastAsia="Arial" w:hAnsi="Arial"/>
                <w:sz w:val="27"/>
                <w:szCs w:val="27"/>
                <w:color w:val="auto"/>
                <w:vertAlign w:val="superscript"/>
              </w:rPr>
              <w:t>(4)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w w:val="94"/>
              </w:rPr>
              <w:t>Depreciation and amortization of unconsolidated entities</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4"/>
              </w:rPr>
              <w:t>(Gains)/losses from derivative activities, net of inventory</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valuation adjustments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Long-term inventory costing adjustments</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Deficiencies under minimum volume commitments, net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Equity-indexed compensation expense</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loss on foreign currency revaluation</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Line 901 incident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Segment Adjusted EBITDA</w:t>
            </w: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920" w:type="dxa"/>
            <w:vAlign w:val="bottom"/>
            <w:vMerge w:val="continue"/>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571</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1,083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Maintenance capital</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110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7"/>
          <w:szCs w:val="27"/>
          <w:color w:val="auto"/>
          <w:vertAlign w:val="superscript"/>
        </w:rPr>
      </w:pPr>
      <w:r>
        <w:rPr>
          <w:rFonts w:ascii="Arial" w:cs="Arial" w:eastAsia="Arial" w:hAnsi="Arial"/>
          <w:sz w:val="16"/>
          <w:szCs w:val="16"/>
          <w:color w:val="auto"/>
        </w:rPr>
        <w:t>Includes intersegment amounts.</w:t>
      </w:r>
    </w:p>
    <w:p>
      <w:pPr>
        <w:spacing w:after="0" w:line="145" w:lineRule="exact"/>
        <w:rPr>
          <w:rFonts w:ascii="Arial" w:cs="Arial" w:eastAsia="Arial" w:hAnsi="Arial"/>
          <w:sz w:val="27"/>
          <w:szCs w:val="27"/>
          <w:color w:val="auto"/>
          <w:vertAlign w:val="superscript"/>
        </w:rPr>
      </w:pPr>
    </w:p>
    <w:p>
      <w:pPr>
        <w:ind w:left="340" w:hanging="332"/>
        <w:spacing w:after="0" w:line="200" w:lineRule="auto"/>
        <w:tabs>
          <w:tab w:leader="none" w:pos="340" w:val="left"/>
        </w:tabs>
        <w:numPr>
          <w:ilvl w:val="0"/>
          <w:numId w:val="18"/>
        </w:numPr>
        <w:rPr>
          <w:rFonts w:ascii="Arial" w:cs="Arial" w:eastAsia="Arial" w:hAnsi="Arial"/>
          <w:sz w:val="27"/>
          <w:szCs w:val="27"/>
          <w:color w:val="auto"/>
          <w:vertAlign w:val="superscript"/>
        </w:rPr>
      </w:pPr>
      <w:r>
        <w:rPr>
          <w:rFonts w:ascii="Arial" w:cs="Arial" w:eastAsia="Arial" w:hAnsi="Arial"/>
          <w:sz w:val="16"/>
          <w:szCs w:val="16"/>
          <w:color w:val="auto"/>
        </w:rPr>
        <w:t>Field operating costs and Segment general and administrative expenses include equity-indexed compensation expense.</w:t>
      </w:r>
    </w:p>
    <w:p>
      <w:pPr>
        <w:spacing w:after="0" w:line="199" w:lineRule="exact"/>
        <w:rPr>
          <w:rFonts w:ascii="Arial" w:cs="Arial" w:eastAsia="Arial" w:hAnsi="Arial"/>
          <w:sz w:val="27"/>
          <w:szCs w:val="27"/>
          <w:color w:val="auto"/>
          <w:vertAlign w:val="superscript"/>
        </w:rPr>
      </w:pPr>
    </w:p>
    <w:p>
      <w:pPr>
        <w:ind w:left="340" w:right="500" w:hanging="332"/>
        <w:spacing w:after="0" w:line="198" w:lineRule="auto"/>
        <w:tabs>
          <w:tab w:leader="none" w:pos="340" w:val="left"/>
        </w:tabs>
        <w:numPr>
          <w:ilvl w:val="0"/>
          <w:numId w:val="18"/>
        </w:numPr>
        <w:rPr>
          <w:rFonts w:ascii="Arial" w:cs="Arial" w:eastAsia="Arial" w:hAnsi="Arial"/>
          <w:sz w:val="27"/>
          <w:szCs w:val="27"/>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99" w:lineRule="exact"/>
        <w:rPr>
          <w:rFonts w:ascii="Arial" w:cs="Arial" w:eastAsia="Arial" w:hAnsi="Arial"/>
          <w:sz w:val="27"/>
          <w:szCs w:val="27"/>
          <w:color w:val="auto"/>
          <w:vertAlign w:val="superscript"/>
        </w:rPr>
      </w:pPr>
    </w:p>
    <w:p>
      <w:pPr>
        <w:ind w:left="340" w:right="20" w:hanging="332"/>
        <w:spacing w:after="0" w:line="216" w:lineRule="auto"/>
        <w:tabs>
          <w:tab w:leader="none" w:pos="340" w:val="left"/>
        </w:tabs>
        <w:numPr>
          <w:ilvl w:val="0"/>
          <w:numId w:val="18"/>
        </w:numPr>
        <w:rPr>
          <w:rFonts w:ascii="Arial" w:cs="Arial" w:eastAsia="Arial" w:hAnsi="Arial"/>
          <w:sz w:val="27"/>
          <w:szCs w:val="27"/>
          <w:color w:val="auto"/>
          <w:vertAlign w:val="superscript"/>
        </w:rPr>
      </w:pPr>
      <w:r>
        <w:rPr>
          <w:rFonts w:ascii="Arial" w:cs="Arial" w:eastAsia="Arial" w:hAnsi="Arial"/>
          <w:sz w:val="16"/>
          <w:szCs w:val="16"/>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8" w:lineRule="exact"/>
        <w:rPr>
          <w:rFonts w:ascii="Arial" w:cs="Arial" w:eastAsia="Arial" w:hAnsi="Arial"/>
          <w:sz w:val="27"/>
          <w:szCs w:val="27"/>
          <w:color w:val="auto"/>
          <w:vertAlign w:val="superscript"/>
        </w:rPr>
      </w:pPr>
    </w:p>
    <w:p>
      <w:pPr>
        <w:ind w:left="5520" w:hanging="96"/>
        <w:spacing w:after="0"/>
        <w:tabs>
          <w:tab w:leader="none" w:pos="55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Page 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64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OPERATING DATA BY SEGMENT </w:t>
            </w:r>
            <w:r>
              <w:rPr>
                <w:rFonts w:ascii="Arial" w:cs="Arial" w:eastAsia="Arial" w:hAnsi="Arial"/>
                <w:sz w:val="30"/>
                <w:szCs w:val="30"/>
                <w:b w:val="1"/>
                <w:bCs w:val="1"/>
                <w:color w:val="auto"/>
                <w:vertAlign w:val="superscript"/>
              </w:rPr>
              <w:t>(1)</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234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60" w:type="dxa"/>
            <w:vAlign w:val="bottom"/>
            <w:gridSpan w:val="2"/>
          </w:tcPr>
          <w:p>
            <w:pPr>
              <w:spacing w:after="0"/>
              <w:rPr>
                <w:sz w:val="19"/>
                <w:szCs w:val="19"/>
                <w:color w:val="auto"/>
              </w:rPr>
            </w:pPr>
          </w:p>
        </w:tc>
        <w:tc>
          <w:tcPr>
            <w:tcW w:w="2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0"/>
              </w:rPr>
              <w:t>Transportation segment (average daily volumes in thousands of barrels</w:t>
            </w:r>
          </w:p>
        </w:tc>
        <w:tc>
          <w:tcPr>
            <w:tcW w:w="8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per day):</w:t>
            </w:r>
          </w:p>
        </w:tc>
        <w:tc>
          <w:tcPr>
            <w:tcW w:w="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Tariff activities volumes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Crude oil pipelines (by region):</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20" w:type="dxa"/>
            <w:vAlign w:val="bottom"/>
            <w:gridSpan w:val="3"/>
          </w:tcPr>
          <w:p>
            <w:pPr>
              <w:ind w:left="320"/>
              <w:spacing w:after="0" w:line="25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9"/>
                <w:szCs w:val="29"/>
                <w:color w:val="auto"/>
                <w:vertAlign w:val="superscript"/>
              </w:rPr>
              <w:t>(2)</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4,852</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3,880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4,568</w:t>
            </w:r>
          </w:p>
        </w:tc>
        <w:tc>
          <w:tcPr>
            <w:tcW w:w="46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3,621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20" w:type="dxa"/>
            <w:vAlign w:val="bottom"/>
            <w:gridSpan w:val="3"/>
            <w:shd w:val="clear" w:color="auto" w:fill="CCEEFF"/>
          </w:tcPr>
          <w:p>
            <w:pPr>
              <w:ind w:left="320"/>
              <w:spacing w:after="0" w:line="25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9"/>
                <w:szCs w:val="29"/>
                <w:color w:val="auto"/>
                <w:vertAlign w:val="superscript"/>
              </w:rPr>
              <w:t>(2)</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w:t>
            </w:r>
          </w:p>
        </w:tc>
        <w:tc>
          <w:tcPr>
            <w:tcW w:w="8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w:t>
            </w:r>
          </w:p>
        </w:tc>
        <w:tc>
          <w:tcPr>
            <w:tcW w:w="4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20" w:type="dxa"/>
            <w:vAlign w:val="bottom"/>
            <w:gridSpan w:val="3"/>
          </w:tcPr>
          <w:p>
            <w:pPr>
              <w:ind w:left="320"/>
              <w:spacing w:after="0" w:line="256"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9"/>
                <w:szCs w:val="29"/>
                <w:color w:val="auto"/>
                <w:vertAlign w:val="superscript"/>
              </w:rPr>
              <w:t>(2)</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538</w:t>
            </w:r>
          </w:p>
        </w:tc>
        <w:tc>
          <w:tcPr>
            <w:tcW w:w="8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480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524</w:t>
            </w:r>
          </w:p>
        </w:tc>
        <w:tc>
          <w:tcPr>
            <w:tcW w:w="46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Gulf Coast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20" w:type="dxa"/>
            <w:vAlign w:val="bottom"/>
            <w:gridSpan w:val="3"/>
          </w:tcPr>
          <w:p>
            <w:pPr>
              <w:ind w:left="320"/>
              <w:spacing w:after="0" w:line="25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9"/>
                <w:szCs w:val="29"/>
                <w:color w:val="auto"/>
                <w:vertAlign w:val="superscript"/>
              </w:rPr>
              <w:t>(2)</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284</w:t>
            </w:r>
          </w:p>
        </w:tc>
        <w:tc>
          <w:tcPr>
            <w:tcW w:w="8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c>
          <w:tcPr>
            <w:tcW w:w="46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Western</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3"/>
          </w:tcPr>
          <w:p>
            <w:pPr>
              <w:ind w:left="320"/>
              <w:spacing w:after="0"/>
              <w:rPr>
                <w:sz w:val="20"/>
                <w:szCs w:val="20"/>
                <w:color w:val="auto"/>
              </w:rPr>
            </w:pPr>
            <w:r>
              <w:rPr>
                <w:rFonts w:ascii="Arial" w:cs="Arial" w:eastAsia="Arial" w:hAnsi="Arial"/>
                <w:sz w:val="18"/>
                <w:szCs w:val="18"/>
                <w:color w:val="auto"/>
              </w:rPr>
              <w:t>Canada</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316</w:t>
            </w:r>
          </w:p>
        </w:tc>
        <w:tc>
          <w:tcPr>
            <w:tcW w:w="8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322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319</w:t>
            </w:r>
          </w:p>
        </w:tc>
        <w:tc>
          <w:tcPr>
            <w:tcW w:w="4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6,807</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5,746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3"/>
          </w:tcPr>
          <w:p>
            <w:pPr>
              <w:ind w:left="160"/>
              <w:spacing w:after="0"/>
              <w:rPr>
                <w:sz w:val="20"/>
                <w:szCs w:val="20"/>
                <w:color w:val="auto"/>
              </w:rPr>
            </w:pPr>
            <w:r>
              <w:rPr>
                <w:rFonts w:ascii="Arial" w:cs="Arial" w:eastAsia="Arial" w:hAnsi="Arial"/>
                <w:sz w:val="18"/>
                <w:szCs w:val="18"/>
                <w:color w:val="auto"/>
              </w:rPr>
              <w:t>NGL pipelines</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193</w:t>
            </w:r>
          </w:p>
        </w:tc>
        <w:tc>
          <w:tcPr>
            <w:tcW w:w="8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4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Tariff activities total volumes</w:t>
            </w: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7,000</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5,920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3"/>
          </w:tcPr>
          <w:p>
            <w:pPr>
              <w:ind w:left="160"/>
              <w:spacing w:after="0"/>
              <w:rPr>
                <w:sz w:val="20"/>
                <w:szCs w:val="20"/>
                <w:color w:val="auto"/>
              </w:rPr>
            </w:pPr>
            <w:r>
              <w:rPr>
                <w:rFonts w:ascii="Arial" w:cs="Arial" w:eastAsia="Arial" w:hAnsi="Arial"/>
                <w:sz w:val="18"/>
                <w:szCs w:val="18"/>
                <w:color w:val="auto"/>
              </w:rPr>
              <w:t>Trucking volumes</w:t>
            </w:r>
          </w:p>
        </w:tc>
        <w:tc>
          <w:tcPr>
            <w:tcW w:w="44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4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7,081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6,015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420" w:type="dxa"/>
            <w:vAlign w:val="bottom"/>
            <w:gridSpan w:val="3"/>
          </w:tcPr>
          <w:p>
            <w:pPr>
              <w:ind w:left="160"/>
              <w:spacing w:after="0"/>
              <w:rPr>
                <w:sz w:val="20"/>
                <w:szCs w:val="20"/>
                <w:color w:val="auto"/>
              </w:rPr>
            </w:pPr>
            <w:r>
              <w:rPr>
                <w:rFonts w:ascii="Arial" w:cs="Arial" w:eastAsia="Arial" w:hAnsi="Arial"/>
                <w:sz w:val="18"/>
                <w:szCs w:val="18"/>
                <w:color w:val="auto"/>
              </w:rPr>
              <w:t>Liquids storage (average monthly capacity in millions of barrels)</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84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tcBorders>
              <w:top w:val="single" w:sz="8" w:color="CCEEFF"/>
            </w:tcBorders>
            <w:gridSpan w:val="2"/>
            <w:shd w:val="clear" w:color="auto" w:fill="CCEEFF"/>
          </w:tcPr>
          <w:p>
            <w:pPr>
              <w:ind w:left="160"/>
              <w:spacing w:after="0" w:line="156" w:lineRule="exact"/>
              <w:rPr>
                <w:sz w:val="20"/>
                <w:szCs w:val="20"/>
                <w:color w:val="auto"/>
              </w:rPr>
            </w:pPr>
            <w:r>
              <w:rPr>
                <w:rFonts w:ascii="Arial" w:cs="Arial" w:eastAsia="Arial" w:hAnsi="Arial"/>
                <w:sz w:val="18"/>
                <w:szCs w:val="18"/>
                <w:color w:val="auto"/>
              </w:rPr>
              <w:t>Natural gas storage (average monthly working capacity in billions of</w:t>
            </w:r>
          </w:p>
        </w:tc>
        <w:tc>
          <w:tcPr>
            <w:tcW w:w="8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cubic feet)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4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8"/>
                <w:szCs w:val="18"/>
                <w:color w:val="auto"/>
                <w:w w:val="99"/>
              </w:rPr>
              <w:t>NGL fractionation (average volumes in thousands of barrels per day)</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CEEFF"/>
            </w:tcBorders>
            <w:gridSpan w:val="2"/>
            <w:vMerge w:val="continue"/>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w:t>
            </w:r>
          </w:p>
        </w:tc>
        <w:tc>
          <w:tcPr>
            <w:tcW w:w="24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w:t>
            </w:r>
          </w:p>
        </w:tc>
        <w:tc>
          <w:tcPr>
            <w:tcW w:w="22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w:t>
            </w:r>
          </w:p>
        </w:tc>
        <w:tc>
          <w:tcPr>
            <w:tcW w:w="20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00" w:type="dxa"/>
            <w:vAlign w:val="bottom"/>
            <w:gridSpan w:val="2"/>
            <w:shd w:val="clear" w:color="auto" w:fill="CCEEFF"/>
          </w:tcPr>
          <w:p>
            <w:pPr>
              <w:spacing w:after="0" w:line="159" w:lineRule="exact"/>
              <w:rPr>
                <w:sz w:val="20"/>
                <w:szCs w:val="20"/>
                <w:color w:val="auto"/>
              </w:rPr>
            </w:pPr>
            <w:r>
              <w:rPr>
                <w:rFonts w:ascii="Arial" w:cs="Arial" w:eastAsia="Arial" w:hAnsi="Arial"/>
                <w:sz w:val="18"/>
                <w:szCs w:val="18"/>
                <w:color w:val="auto"/>
                <w:w w:val="97"/>
              </w:rPr>
              <w:t>Facilities segment total volumes (average monthly volumes in millions of</w:t>
            </w: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6420" w:type="dxa"/>
            <w:vAlign w:val="bottom"/>
            <w:gridSpan w:val="3"/>
            <w:shd w:val="clear" w:color="auto" w:fill="CCEEFF"/>
          </w:tcPr>
          <w:p>
            <w:pPr>
              <w:ind w:left="160"/>
              <w:spacing w:after="0" w:line="294"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30"/>
                <w:szCs w:val="30"/>
                <w:color w:val="auto"/>
                <w:vertAlign w:val="superscript"/>
              </w:rPr>
              <w:t>(3)</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8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4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42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Supply and Logistics segment (average daily volumes in thousands of</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barrels per day):</w:t>
            </w:r>
          </w:p>
        </w:tc>
        <w:tc>
          <w:tcPr>
            <w:tcW w:w="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tcPr>
          <w:p>
            <w:pPr>
              <w:ind w:left="160"/>
              <w:spacing w:after="0"/>
              <w:rPr>
                <w:sz w:val="20"/>
                <w:szCs w:val="20"/>
                <w:color w:val="auto"/>
              </w:rPr>
            </w:pPr>
            <w:r>
              <w:rPr>
                <w:rFonts w:ascii="Arial" w:cs="Arial" w:eastAsia="Arial" w:hAnsi="Arial"/>
                <w:sz w:val="18"/>
                <w:szCs w:val="18"/>
                <w:color w:val="auto"/>
              </w:rPr>
              <w:t>Crude oil lease gathering purchases</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1,146</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1,042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1,126</w:t>
            </w:r>
          </w:p>
        </w:tc>
        <w:tc>
          <w:tcPr>
            <w:tcW w:w="4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4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Supply and Logistics segment total volumes</w:t>
            </w:r>
          </w:p>
        </w:tc>
        <w:tc>
          <w:tcPr>
            <w:tcW w:w="8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1,270</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1,237</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8"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26"/>
          <w:szCs w:val="26"/>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163" w:lineRule="exact"/>
        <w:rPr>
          <w:rFonts w:ascii="Arial" w:cs="Arial" w:eastAsia="Arial" w:hAnsi="Arial"/>
          <w:sz w:val="26"/>
          <w:szCs w:val="26"/>
          <w:color w:val="auto"/>
          <w:vertAlign w:val="superscript"/>
        </w:rPr>
      </w:pPr>
    </w:p>
    <w:p>
      <w:pPr>
        <w:ind w:left="340" w:hanging="332"/>
        <w:spacing w:after="0" w:line="186" w:lineRule="auto"/>
        <w:tabs>
          <w:tab w:leader="none" w:pos="340"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3" w:lineRule="exact"/>
        <w:rPr>
          <w:rFonts w:ascii="Arial" w:cs="Arial" w:eastAsia="Arial" w:hAnsi="Arial"/>
          <w:sz w:val="30"/>
          <w:szCs w:val="30"/>
          <w:color w:val="auto"/>
          <w:vertAlign w:val="superscript"/>
        </w:rPr>
      </w:pPr>
    </w:p>
    <w:p>
      <w:pPr>
        <w:ind w:left="340" w:right="80" w:hanging="332"/>
        <w:spacing w:after="0" w:line="223" w:lineRule="auto"/>
        <w:tabs>
          <w:tab w:leader="none" w:pos="340"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1"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Page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Arial" w:cs="Arial" w:eastAsia="Arial" w:hAnsi="Arial"/>
                <w:sz w:val="18"/>
                <w:szCs w:val="18"/>
                <w:b w:val="1"/>
                <w:bCs w:val="1"/>
                <w:color w:val="auto"/>
                <w:w w:val="96"/>
              </w:rPr>
              <w:t>Fee-based Segment Adjusted EBITDA to Adjusted EBITDA Reconciliations:</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6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gridSpan w:val="5"/>
          </w:tcPr>
          <w:p>
            <w:pPr>
              <w:jc w:val="right"/>
              <w:ind w:right="225"/>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Adjusted EBITDA</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462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Facilities Segment Adjusted EBITDA</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173</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Fee-based Segment Adjusted EBITDA</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Supply and Logistics Segment Adjusted EBITDA</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22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30"/>
                <w:szCs w:val="30"/>
                <w:color w:val="auto"/>
                <w:vertAlign w:val="superscript"/>
              </w:rPr>
              <w:t>(1)</w:t>
            </w: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line="28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30"/>
                <w:szCs w:val="30"/>
                <w:color w:val="auto"/>
                <w:vertAlign w:val="superscript"/>
              </w:rPr>
              <w:t>(2)</w:t>
            </w: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20" w:type="dxa"/>
            <w:vAlign w:val="bottom"/>
            <w:vMerge w:val="continue"/>
          </w:tcPr>
          <w:p>
            <w:pPr>
              <w:spacing w:after="0"/>
              <w:rPr>
                <w:sz w:val="22"/>
                <w:szCs w:val="22"/>
                <w:color w:val="auto"/>
              </w:rPr>
            </w:pPr>
          </w:p>
        </w:tc>
        <w:tc>
          <w:tcPr>
            <w:tcW w:w="1040" w:type="dxa"/>
            <w:vAlign w:val="bottom"/>
            <w:gridSpan w:val="2"/>
          </w:tcPr>
          <w:p>
            <w:pPr>
              <w:jc w:val="right"/>
              <w:ind w:right="556"/>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731</w:t>
            </w:r>
          </w:p>
        </w:tc>
        <w:tc>
          <w:tcPr>
            <w:tcW w:w="840" w:type="dxa"/>
            <w:vAlign w:val="bottom"/>
            <w:gridSpan w:val="2"/>
          </w:tcPr>
          <w:p>
            <w:pPr>
              <w:jc w:val="right"/>
              <w:ind w:right="565"/>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636</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2,377</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1,735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Transportation 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Facilities Segment Adjusted EBITDA</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Fee-based 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Supply and Logistics Segment Adjusted EBITDA</w:t>
      </w:r>
    </w:p>
    <w:p>
      <w:pPr>
        <w:spacing w:after="0" w:line="211" w:lineRule="auto"/>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30"/>
          <w:szCs w:val="3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30"/>
          <w:szCs w:val="3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8097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8"/>
          <w:szCs w:val="18"/>
          <w:b w:val="1"/>
          <w:bCs w:val="1"/>
          <w:color w:val="auto"/>
        </w:rPr>
        <w:t>Twelve Months Ended</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1,287</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734</w:t>
            </w:r>
          </w:p>
        </w:tc>
      </w:tr>
      <w:tr>
        <w:trPr>
          <w:trHeight w:val="195"/>
        </w:trPr>
        <w:tc>
          <w:tcPr>
            <w:tcW w:w="20" w:type="dxa"/>
            <w:vAlign w:val="bottom"/>
          </w:tcPr>
          <w:p>
            <w:pPr>
              <w:spacing w:after="0"/>
              <w:rPr>
                <w:sz w:val="16"/>
                <w:szCs w:val="16"/>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2,219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2,021</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70"/>
        </w:trPr>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r>
      <w:tr>
        <w:trPr>
          <w:trHeight w:val="264"/>
        </w:trPr>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2,684</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2,082</w:t>
            </w:r>
          </w:p>
        </w:tc>
      </w:tr>
      <w:tr>
        <w:trPr>
          <w:trHeight w:val="20"/>
        </w:trPr>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22" w:lineRule="exact"/>
        <w:rPr>
          <w:sz w:val="20"/>
          <w:szCs w:val="20"/>
          <w:color w:val="auto"/>
        </w:rPr>
      </w:pPr>
    </w:p>
    <w:p>
      <w:pPr>
        <w:sectPr>
          <w:pgSz w:w="11900" w:h="16838" w:orient="portrait"/>
          <w:cols w:equalWidth="0" w:num="2">
            <w:col w:w="8320" w:space="720"/>
            <w:col w:w="2380"/>
          </w:cols>
          <w:pgMar w:left="240" w:top="908" w:right="239" w:bottom="1440" w:gutter="0" w:footer="0" w:header="0"/>
          <w:type w:val="continuous"/>
        </w:sectPr>
      </w:pPr>
    </w:p>
    <w:p>
      <w:pPr>
        <w:spacing w:after="0" w:line="142" w:lineRule="exact"/>
        <w:rPr>
          <w:sz w:val="20"/>
          <w:szCs w:val="20"/>
          <w:color w:val="auto"/>
        </w:rPr>
      </w:pPr>
    </w:p>
    <w:p>
      <w:pPr>
        <w:ind w:left="340" w:right="60" w:hanging="332"/>
        <w:spacing w:after="0" w:line="209" w:lineRule="auto"/>
        <w:tabs>
          <w:tab w:leader="none" w:pos="34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Represents “Other income/(expense), net” as reported on our Condensed Consolidated Statements of Operations, adjusted for selected items impacting comparability of $(1) million, $3 million, $(17) million and $(6) million for the three and nine months ended September 30, 2019 and 2018, respectively. See the “Selected Items Impacting Comparability” table for additional information.</w:t>
      </w:r>
    </w:p>
    <w:p>
      <w:pPr>
        <w:spacing w:after="0" w:line="88"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See the “Net Income to Adjusted EBITDA and Implied DCF Reconciliation” table for reconciliation to Net Income.</w:t>
      </w:r>
    </w:p>
    <w:p>
      <w:pPr>
        <w:spacing w:after="0" w:line="201" w:lineRule="exact"/>
        <w:rPr>
          <w:rFonts w:ascii="Arial" w:cs="Arial" w:eastAsia="Arial" w:hAnsi="Arial"/>
          <w:sz w:val="30"/>
          <w:szCs w:val="30"/>
          <w:color w:val="auto"/>
          <w:vertAlign w:val="superscript"/>
        </w:rPr>
      </w:pPr>
    </w:p>
    <w:p>
      <w:pPr>
        <w:ind w:left="340" w:right="20" w:hanging="332"/>
        <w:spacing w:after="0" w:line="194" w:lineRule="auto"/>
        <w:tabs>
          <w:tab w:leader="none" w:pos="34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Represents “Other income/(expense), net” as reported on our Consolidated Statements of Operations, adjusted for selected items impacting comparability of $10 million and $32 million for the twelve months ended December 31, 2018 and 2017, respectively.</w:t>
      </w:r>
    </w:p>
    <w:p>
      <w:pPr>
        <w:spacing w:after="0" w:line="202"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680"/>
        <w:spacing w:after="0"/>
        <w:tabs>
          <w:tab w:leader="none" w:pos="484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Page 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40" w:type="dxa"/>
            <w:vAlign w:val="bottom"/>
            <w:gridSpan w:val="5"/>
          </w:tcPr>
          <w:p>
            <w:pPr>
              <w:jc w:val="center"/>
              <w:ind w:left="559"/>
              <w:spacing w:after="0"/>
              <w:rPr>
                <w:sz w:val="20"/>
                <w:szCs w:val="20"/>
                <w:color w:val="auto"/>
              </w:rPr>
            </w:pPr>
            <w:r>
              <w:rPr>
                <w:rFonts w:ascii="Arial" w:cs="Arial" w:eastAsia="Arial" w:hAnsi="Arial"/>
                <w:sz w:val="16"/>
                <w:szCs w:val="16"/>
                <w:b w:val="1"/>
                <w:bCs w:val="1"/>
                <w:color w:val="auto"/>
                <w:w w:val="92"/>
              </w:rPr>
              <w:t>Three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gridSpan w:val="5"/>
          </w:tcPr>
          <w:p>
            <w:pPr>
              <w:jc w:val="center"/>
              <w:ind w:left="539"/>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89"/>
              </w:rPr>
              <w:t>September 30, 2019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w w:val="90"/>
              </w:rPr>
              <w:t>September 30, 2018</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Supply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Supply and</w:t>
            </w:r>
          </w:p>
        </w:tc>
        <w:tc>
          <w:tcPr>
            <w:tcW w:w="100" w:type="dxa"/>
            <w:vAlign w:val="bottom"/>
          </w:tcPr>
          <w:p>
            <w:pPr>
              <w:spacing w:after="0"/>
              <w:rPr>
                <w:sz w:val="16"/>
                <w:szCs w:val="16"/>
                <w:color w:val="auto"/>
              </w:rPr>
            </w:pPr>
          </w:p>
        </w:tc>
      </w:tr>
      <w:tr>
        <w:trPr>
          <w:trHeight w:val="213"/>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w w:val="92"/>
              </w:rPr>
              <w:t>Transportation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6"/>
              </w:rPr>
              <w:t>Facilities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Logistics</w:t>
            </w:r>
          </w:p>
        </w:tc>
        <w:tc>
          <w:tcPr>
            <w:tcW w:w="1140" w:type="dxa"/>
            <w:vAlign w:val="bottom"/>
            <w:gridSpan w:val="3"/>
          </w:tcPr>
          <w:p>
            <w:pPr>
              <w:ind w:left="100"/>
              <w:spacing w:after="0"/>
              <w:rPr>
                <w:sz w:val="20"/>
                <w:szCs w:val="20"/>
                <w:color w:val="auto"/>
              </w:rPr>
            </w:pPr>
            <w:r>
              <w:rPr>
                <w:rFonts w:ascii="Arial" w:cs="Arial" w:eastAsia="Arial" w:hAnsi="Arial"/>
                <w:sz w:val="16"/>
                <w:szCs w:val="16"/>
                <w:b w:val="1"/>
                <w:bCs w:val="1"/>
                <w:color w:val="auto"/>
                <w:w w:val="90"/>
              </w:rPr>
              <w:t>Transportation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Facilities</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Logistics</w:t>
            </w:r>
          </w:p>
        </w:tc>
      </w:tr>
      <w:tr>
        <w:trPr>
          <w:trHeight w:val="199"/>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Segment Adjusted EBITDA</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57"/>
        </w:trPr>
        <w:tc>
          <w:tcPr>
            <w:tcW w:w="3900" w:type="dxa"/>
            <w:vAlign w:val="bottom"/>
          </w:tcPr>
          <w:p>
            <w:pPr>
              <w:spacing w:after="0" w:line="257" w:lineRule="exact"/>
              <w:rPr>
                <w:sz w:val="20"/>
                <w:szCs w:val="20"/>
                <w:color w:val="auto"/>
              </w:rPr>
            </w:pPr>
            <w:r>
              <w:rPr>
                <w:rFonts w:ascii="Arial" w:cs="Arial" w:eastAsia="Arial" w:hAnsi="Arial"/>
                <w:sz w:val="16"/>
                <w:szCs w:val="16"/>
                <w:color w:val="auto"/>
              </w:rPr>
              <w:t xml:space="preserve">Impact of divested assets </w:t>
            </w:r>
            <w:r>
              <w:rPr>
                <w:rFonts w:ascii="Arial" w:cs="Arial" w:eastAsia="Arial" w:hAnsi="Arial"/>
                <w:sz w:val="27"/>
                <w:szCs w:val="27"/>
                <w:color w:val="auto"/>
                <w:vertAlign w:val="superscript"/>
              </w:rPr>
              <w:t>(1)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73"/>
        </w:trPr>
        <w:tc>
          <w:tcPr>
            <w:tcW w:w="390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w w:val="96"/>
              </w:rPr>
              <w:t>Segment Adjusted EBITDA further adjusted for impact of</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6"/>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divested assets</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2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96"/>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2"/>
              </w:rPr>
              <w:t>Nine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3"/>
              </w:rPr>
              <w:t>Nine Months Ended</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89"/>
              </w:rPr>
              <w:t>September 30, 2019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w w:val="90"/>
              </w:rPr>
              <w:t>September 30, 2018</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Supply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Supply and</w:t>
            </w:r>
          </w:p>
        </w:tc>
        <w:tc>
          <w:tcPr>
            <w:tcW w:w="100" w:type="dxa"/>
            <w:vAlign w:val="bottom"/>
          </w:tcPr>
          <w:p>
            <w:pPr>
              <w:spacing w:after="0"/>
              <w:rPr>
                <w:sz w:val="16"/>
                <w:szCs w:val="16"/>
                <w:color w:val="auto"/>
              </w:rPr>
            </w:pPr>
          </w:p>
        </w:tc>
      </w:tr>
      <w:tr>
        <w:trPr>
          <w:trHeight w:val="213"/>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w w:val="92"/>
              </w:rPr>
              <w:t>Transportation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6"/>
              </w:rPr>
              <w:t>Facilities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Logistics</w:t>
            </w:r>
          </w:p>
        </w:tc>
        <w:tc>
          <w:tcPr>
            <w:tcW w:w="1140" w:type="dxa"/>
            <w:vAlign w:val="bottom"/>
            <w:gridSpan w:val="3"/>
          </w:tcPr>
          <w:p>
            <w:pPr>
              <w:ind w:left="100"/>
              <w:spacing w:after="0"/>
              <w:rPr>
                <w:sz w:val="20"/>
                <w:szCs w:val="20"/>
                <w:color w:val="auto"/>
              </w:rPr>
            </w:pPr>
            <w:r>
              <w:rPr>
                <w:rFonts w:ascii="Arial" w:cs="Arial" w:eastAsia="Arial" w:hAnsi="Arial"/>
                <w:sz w:val="16"/>
                <w:szCs w:val="16"/>
                <w:b w:val="1"/>
                <w:bCs w:val="1"/>
                <w:color w:val="auto"/>
                <w:w w:val="90"/>
              </w:rPr>
              <w:t>Transportation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Facilities</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Logistics</w:t>
            </w:r>
          </w:p>
        </w:tc>
      </w:tr>
      <w:tr>
        <w:trPr>
          <w:trHeight w:val="199"/>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Segment Adjusted EBITDA</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top w:val="single" w:sz="8" w:color="CCEEFF"/>
            </w:tcBorders>
            <w:shd w:val="clear" w:color="auto" w:fill="CCEEFF"/>
          </w:tcPr>
          <w:p>
            <w:pPr>
              <w:spacing w:after="0"/>
              <w:rPr>
                <w:sz w:val="17"/>
                <w:szCs w:val="17"/>
                <w:color w:val="auto"/>
              </w:rPr>
            </w:pPr>
          </w:p>
        </w:tc>
      </w:tr>
      <w:tr>
        <w:trPr>
          <w:trHeight w:val="257"/>
        </w:trPr>
        <w:tc>
          <w:tcPr>
            <w:tcW w:w="3900" w:type="dxa"/>
            <w:vAlign w:val="bottom"/>
          </w:tcPr>
          <w:p>
            <w:pPr>
              <w:spacing w:after="0" w:line="257" w:lineRule="exact"/>
              <w:rPr>
                <w:sz w:val="20"/>
                <w:szCs w:val="20"/>
                <w:color w:val="auto"/>
              </w:rPr>
            </w:pPr>
            <w:r>
              <w:rPr>
                <w:rFonts w:ascii="Arial" w:cs="Arial" w:eastAsia="Arial" w:hAnsi="Arial"/>
                <w:sz w:val="16"/>
                <w:szCs w:val="16"/>
                <w:color w:val="auto"/>
              </w:rPr>
              <w:t xml:space="preserve">Impact of divested assets </w:t>
            </w:r>
            <w:r>
              <w:rPr>
                <w:rFonts w:ascii="Arial" w:cs="Arial" w:eastAsia="Arial" w:hAnsi="Arial"/>
                <w:sz w:val="27"/>
                <w:szCs w:val="27"/>
                <w:color w:val="auto"/>
                <w:vertAlign w:val="superscript"/>
              </w:rPr>
              <w:t>(1)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73"/>
        </w:trPr>
        <w:tc>
          <w:tcPr>
            <w:tcW w:w="390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w w:val="96"/>
              </w:rPr>
              <w:t>Segment Adjusted EBITDA further adjusted for impact of</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6"/>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divested assets</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2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571</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097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8" w:lineRule="exact"/>
        <w:rPr>
          <w:sz w:val="20"/>
          <w:szCs w:val="20"/>
          <w:color w:val="auto"/>
        </w:rPr>
      </w:pPr>
    </w:p>
    <w:p>
      <w:pPr>
        <w:ind w:left="340" w:right="220" w:hanging="332"/>
        <w:spacing w:after="0" w:line="216" w:lineRule="auto"/>
        <w:tabs>
          <w:tab w:leader="none" w:pos="340" w:val="left"/>
        </w:tabs>
        <w:numPr>
          <w:ilvl w:val="0"/>
          <w:numId w:val="21"/>
        </w:numPr>
        <w:rPr>
          <w:rFonts w:ascii="Arial" w:cs="Arial" w:eastAsia="Arial" w:hAnsi="Arial"/>
          <w:sz w:val="27"/>
          <w:szCs w:val="27"/>
          <w:color w:val="auto"/>
          <w:vertAlign w:val="superscript"/>
        </w:rPr>
      </w:pPr>
      <w:r>
        <w:rPr>
          <w:rFonts w:ascii="Arial" w:cs="Arial" w:eastAsia="Arial" w:hAnsi="Arial"/>
          <w:sz w:val="16"/>
          <w:szCs w:val="16"/>
          <w:color w:val="auto"/>
        </w:rPr>
        <w:t>Estimated impact of divestitures completed during 2018, assuming an effective date of January 1, 2018. Divested assets primarily included a 30% interest in BridgeTex Pipeline Company, LLC and certain pipelines in the Rocky Mountain region that were previously reported in our Transportation segment, as well as a natural gas processing facility that was previously reported in our Facilities segment.</w:t>
      </w:r>
    </w:p>
    <w:p>
      <w:pPr>
        <w:spacing w:after="0" w:line="208" w:lineRule="exact"/>
        <w:rPr>
          <w:rFonts w:ascii="Arial" w:cs="Arial" w:eastAsia="Arial" w:hAnsi="Arial"/>
          <w:sz w:val="27"/>
          <w:szCs w:val="27"/>
          <w:color w:val="auto"/>
          <w:vertAlign w:val="superscript"/>
        </w:rPr>
      </w:pPr>
    </w:p>
    <w:p>
      <w:pPr>
        <w:ind w:left="5520" w:hanging="96"/>
        <w:spacing w:after="0"/>
        <w:tabs>
          <w:tab w:leader="none" w:pos="5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680"/>
        <w:spacing w:after="0"/>
        <w:tabs>
          <w:tab w:leader="none" w:pos="484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Page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Three Months Ended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7"/>
          </w:tcPr>
          <w:p>
            <w:pPr>
              <w:jc w:val="center"/>
              <w:ind w:left="539"/>
              <w:spacing w:after="0"/>
              <w:rPr>
                <w:sz w:val="20"/>
                <w:szCs w:val="20"/>
                <w:color w:val="auto"/>
              </w:rPr>
            </w:pPr>
            <w:r>
              <w:rPr>
                <w:rFonts w:ascii="Arial" w:cs="Arial" w:eastAsia="Arial" w:hAnsi="Arial"/>
                <w:sz w:val="16"/>
                <w:szCs w:val="16"/>
                <w:b w:val="1"/>
                <w:bCs w:val="1"/>
                <w:color w:val="auto"/>
                <w:w w:val="93"/>
              </w:rPr>
              <w:t>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September 30, 2019</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0"/>
              </w:rPr>
              <w:t>September 30, 2018</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w w:val="89"/>
              </w:rPr>
              <w:t>Consolidating</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PAA</w:t>
            </w:r>
          </w:p>
        </w:tc>
        <w:tc>
          <w:tcPr>
            <w:tcW w:w="180" w:type="dxa"/>
            <w:vAlign w:val="bottom"/>
          </w:tcPr>
          <w:p>
            <w:pPr>
              <w:spacing w:after="0"/>
              <w:rPr>
                <w:sz w:val="17"/>
                <w:szCs w:val="17"/>
                <w:color w:val="auto"/>
              </w:rPr>
            </w:pPr>
          </w:p>
        </w:tc>
        <w:tc>
          <w:tcPr>
            <w:tcW w:w="128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w w:val="90"/>
              </w:rPr>
              <w:t>Adjustments</w:t>
            </w:r>
          </w:p>
        </w:tc>
        <w:tc>
          <w:tcPr>
            <w:tcW w:w="200" w:type="dxa"/>
            <w:vAlign w:val="bottom"/>
          </w:tcPr>
          <w:p>
            <w:pPr>
              <w:spacing w:after="0"/>
              <w:rPr>
                <w:sz w:val="17"/>
                <w:szCs w:val="17"/>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6"/>
                <w:szCs w:val="16"/>
                <w:b w:val="1"/>
                <w:bCs w:val="1"/>
                <w:color w:val="auto"/>
              </w:rPr>
              <w:t>PAGP</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vMerge w:val="restart"/>
          </w:tcPr>
          <w:p>
            <w:pPr>
              <w:jc w:val="right"/>
              <w:ind w:right="399"/>
              <w:spacing w:after="0"/>
              <w:rPr>
                <w:sz w:val="20"/>
                <w:szCs w:val="20"/>
                <w:color w:val="auto"/>
              </w:rPr>
            </w:pPr>
            <w:r>
              <w:rPr>
                <w:rFonts w:ascii="Arial" w:cs="Arial" w:eastAsia="Arial" w:hAnsi="Arial"/>
                <w:sz w:val="16"/>
                <w:szCs w:val="16"/>
                <w:b w:val="1"/>
                <w:bCs w:val="1"/>
                <w:color w:val="auto"/>
              </w:rPr>
              <w:t>PAA</w:t>
            </w:r>
          </w:p>
        </w:tc>
        <w:tc>
          <w:tcPr>
            <w:tcW w:w="100" w:type="dxa"/>
            <w:vAlign w:val="bottom"/>
          </w:tcPr>
          <w:p>
            <w:pPr>
              <w:spacing w:after="0"/>
              <w:rPr>
                <w:sz w:val="17"/>
                <w:szCs w:val="17"/>
                <w:color w:val="auto"/>
              </w:rPr>
            </w:pPr>
          </w:p>
        </w:tc>
        <w:tc>
          <w:tcPr>
            <w:tcW w:w="122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7"/>
                <w:szCs w:val="17"/>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center"/>
              <w:ind w:right="180"/>
              <w:spacing w:after="0"/>
              <w:rPr>
                <w:sz w:val="20"/>
                <w:szCs w:val="20"/>
                <w:color w:val="auto"/>
              </w:rPr>
            </w:pPr>
            <w:r>
              <w:rPr>
                <w:rFonts w:ascii="Arial" w:cs="Arial" w:eastAsia="Arial" w:hAnsi="Arial"/>
                <w:sz w:val="14"/>
                <w:szCs w:val="14"/>
                <w:b w:val="1"/>
                <w:bCs w:val="1"/>
                <w:color w:val="auto"/>
                <w:w w:val="93"/>
              </w:rPr>
              <w:t>(1)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center"/>
              <w:ind w:right="160"/>
              <w:spacing w:after="0"/>
              <w:rPr>
                <w:sz w:val="20"/>
                <w:szCs w:val="20"/>
                <w:color w:val="auto"/>
              </w:rPr>
            </w:pPr>
            <w:r>
              <w:rPr>
                <w:rFonts w:ascii="Arial" w:cs="Arial" w:eastAsia="Arial" w:hAnsi="Arial"/>
                <w:sz w:val="14"/>
                <w:szCs w:val="14"/>
                <w:b w:val="1"/>
                <w:bCs w:val="1"/>
                <w:color w:val="auto"/>
                <w:w w:val="93"/>
              </w:rPr>
              <w:t>(1)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7,886</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7,886</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Purchases and related costs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6,855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6,855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39"/>
              <w:spacing w:after="0"/>
              <w:rPr>
                <w:sz w:val="20"/>
                <w:szCs w:val="20"/>
                <w:color w:val="auto"/>
              </w:rPr>
            </w:pPr>
            <w:r>
              <w:rPr>
                <w:rFonts w:ascii="Arial" w:cs="Arial" w:eastAsia="Arial" w:hAnsi="Arial"/>
                <w:sz w:val="16"/>
                <w:szCs w:val="16"/>
                <w:color w:val="auto"/>
              </w:rPr>
              <w:t>7,768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7,768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Field operating costs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6"/>
                <w:szCs w:val="16"/>
                <w:color w:val="auto"/>
                <w:w w:val="94"/>
              </w:rPr>
              <w:t>(Gains)/losses on asset sales and asset impairments, net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7,394</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7,396</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INCOME/(EXPENSE)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Equity earnings in unconsolidated entities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Gain on investment in unconsolidated entities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Other income/(expense),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BEFORE TAX</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Current income tax expense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 (expense)/benefit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(21)</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6"/>
                <w:szCs w:val="16"/>
                <w:color w:val="auto"/>
              </w:rPr>
              <w:t>Net income attributable to noncontrolling interests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99"/>
              <w:spacing w:after="0"/>
              <w:rPr>
                <w:sz w:val="20"/>
                <w:szCs w:val="20"/>
                <w:color w:val="auto"/>
              </w:rPr>
            </w:pPr>
            <w:r>
              <w:rPr>
                <w:rFonts w:ascii="Arial" w:cs="Arial" w:eastAsia="Arial" w:hAnsi="Arial"/>
                <w:sz w:val="16"/>
                <w:szCs w:val="16"/>
                <w:color w:val="auto"/>
              </w:rPr>
              <w:t>(356)</w:t>
            </w: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79"/>
              <w:spacing w:after="0"/>
              <w:rPr>
                <w:sz w:val="20"/>
                <w:szCs w:val="20"/>
                <w:color w:val="auto"/>
              </w:rPr>
            </w:pPr>
            <w:r>
              <w:rPr>
                <w:rFonts w:ascii="Arial" w:cs="Arial" w:eastAsia="Arial" w:hAnsi="Arial"/>
                <w:sz w:val="16"/>
                <w:szCs w:val="16"/>
                <w:color w:val="auto"/>
              </w:rPr>
              <w:t>(565)</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NET INCOME ATTRIBUTABLE TO PAGP</w:t>
            </w: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vMerge w:val="continue"/>
            <w:shd w:val="clear" w:color="auto" w:fill="CCEEFF"/>
          </w:tcPr>
          <w:p>
            <w:pPr>
              <w:spacing w:after="0"/>
              <w:rPr>
                <w:sz w:val="18"/>
                <w:szCs w:val="18"/>
                <w:color w:val="auto"/>
              </w:rPr>
            </w:pPr>
          </w:p>
        </w:tc>
        <w:tc>
          <w:tcPr>
            <w:tcW w:w="38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44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w:t>
            </w:r>
          </w:p>
        </w:tc>
        <w:tc>
          <w:tcPr>
            <w:tcW w:w="30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710</w:t>
            </w:r>
          </w:p>
        </w:tc>
        <w:tc>
          <w:tcPr>
            <w:tcW w:w="34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NET INCOME PER CLASS A SHARE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0.41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NET INCOME PER CLASS A SHARE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0.41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WEIGHTED AVERAGE CLASS A SHARES</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OUTSTANDING</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WEIGHTED AVERAGE CLASS A</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SHARES OUTSTANDING</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27"/>
          <w:szCs w:val="27"/>
          <w:color w:val="auto"/>
          <w:vertAlign w:val="superscript"/>
        </w:rPr>
      </w:pPr>
      <w:r>
        <w:rPr>
          <w:rFonts w:ascii="Arial" w:cs="Arial" w:eastAsia="Arial" w:hAnsi="Arial"/>
          <w:sz w:val="16"/>
          <w:szCs w:val="16"/>
          <w:color w:val="auto"/>
        </w:rPr>
        <w:t>Represents the aggregate consolidating adjustments necessary to produce consolidated financial statements for PAGP.</w:t>
      </w:r>
    </w:p>
    <w:p>
      <w:pPr>
        <w:spacing w:after="0" w:line="207" w:lineRule="exact"/>
        <w:rPr>
          <w:rFonts w:ascii="Arial" w:cs="Arial" w:eastAsia="Arial" w:hAnsi="Arial"/>
          <w:sz w:val="27"/>
          <w:szCs w:val="27"/>
          <w:color w:val="auto"/>
          <w:vertAlign w:val="superscript"/>
        </w:rPr>
      </w:pPr>
    </w:p>
    <w:p>
      <w:pPr>
        <w:ind w:left="5520" w:hanging="96"/>
        <w:spacing w:after="0"/>
        <w:tabs>
          <w:tab w:leader="none" w:pos="5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680"/>
        <w:spacing w:after="0"/>
        <w:tabs>
          <w:tab w:leader="none" w:pos="484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Page 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2"/>
              </w:rPr>
              <w:t>Nine Months Ended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Nine Months Ended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September 30, 2019</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September 30, 2018</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w w:val="89"/>
              </w:rPr>
              <w:t>Consolidating</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w w:val="89"/>
              </w:rPr>
              <w:t>Consolidating</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PAA</w:t>
            </w:r>
          </w:p>
        </w:tc>
        <w:tc>
          <w:tcPr>
            <w:tcW w:w="160" w:type="dxa"/>
            <w:vAlign w:val="bottom"/>
          </w:tcPr>
          <w:p>
            <w:pPr>
              <w:spacing w:after="0"/>
              <w:rPr>
                <w:sz w:val="22"/>
                <w:szCs w:val="22"/>
                <w:color w:val="auto"/>
              </w:rPr>
            </w:pPr>
          </w:p>
        </w:tc>
        <w:tc>
          <w:tcPr>
            <w:tcW w:w="1280" w:type="dxa"/>
            <w:vAlign w:val="bottom"/>
            <w:gridSpan w:val="3"/>
          </w:tcPr>
          <w:p>
            <w:pPr>
              <w:jc w:val="center"/>
              <w:ind w:right="159"/>
              <w:spacing w:after="0" w:line="255" w:lineRule="exact"/>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7"/>
                <w:szCs w:val="27"/>
                <w:b w:val="1"/>
                <w:bCs w:val="1"/>
                <w:color w:val="auto"/>
                <w:w w:val="87"/>
                <w:vertAlign w:val="superscript"/>
              </w:rPr>
              <w:t>(1)</w:t>
            </w:r>
          </w:p>
        </w:tc>
        <w:tc>
          <w:tcPr>
            <w:tcW w:w="160" w:type="dxa"/>
            <w:vAlign w:val="bottom"/>
          </w:tcPr>
          <w:p>
            <w:pPr>
              <w:spacing w:after="0"/>
              <w:rPr>
                <w:sz w:val="22"/>
                <w:szCs w:val="2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PAGP</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259"/>
              <w:spacing w:after="0"/>
              <w:rPr>
                <w:sz w:val="20"/>
                <w:szCs w:val="20"/>
                <w:color w:val="auto"/>
              </w:rPr>
            </w:pPr>
            <w:r>
              <w:rPr>
                <w:rFonts w:ascii="Arial" w:cs="Arial" w:eastAsia="Arial" w:hAnsi="Arial"/>
                <w:sz w:val="16"/>
                <w:szCs w:val="16"/>
                <w:b w:val="1"/>
                <w:bCs w:val="1"/>
                <w:color w:val="auto"/>
              </w:rPr>
              <w:t>PAA</w:t>
            </w:r>
          </w:p>
        </w:tc>
        <w:tc>
          <w:tcPr>
            <w:tcW w:w="1460" w:type="dxa"/>
            <w:vAlign w:val="bottom"/>
            <w:gridSpan w:val="4"/>
          </w:tcPr>
          <w:p>
            <w:pPr>
              <w:jc w:val="center"/>
              <w:spacing w:after="0" w:line="255" w:lineRule="exact"/>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7"/>
                <w:szCs w:val="27"/>
                <w:b w:val="1"/>
                <w:bCs w:val="1"/>
                <w:color w:val="auto"/>
                <w:w w:val="87"/>
                <w:vertAlign w:val="superscript"/>
              </w:rPr>
              <w:t>(1)</w:t>
            </w:r>
          </w:p>
        </w:tc>
        <w:tc>
          <w:tcPr>
            <w:tcW w:w="160" w:type="dxa"/>
            <w:vAlign w:val="bottom"/>
          </w:tcPr>
          <w:p>
            <w:pPr>
              <w:spacing w:after="0"/>
              <w:rPr>
                <w:sz w:val="22"/>
                <w:szCs w:val="22"/>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24,515</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24,515</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25,269</w:t>
            </w: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25,269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COSTS AND EXPENSES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6"/>
                <w:szCs w:val="16"/>
                <w:color w:val="auto"/>
              </w:rPr>
              <w:t>Purchases and related costs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21,218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21,218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22,838</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22,838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Field operating costs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931</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232</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6"/>
                <w:szCs w:val="16"/>
                <w:color w:val="auto"/>
              </w:rPr>
              <w:t>(Gains)/losses on asset sales and asset impairments,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costs and expenses</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22,858</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22,864</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24,307</w:t>
            </w: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INCOME/(EXPENSE)</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6"/>
                <w:szCs w:val="16"/>
                <w:color w:val="auto"/>
              </w:rPr>
              <w:t>Equity earnings in unconsolidated entities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281</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Gain on investment in unconsolidated entities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0"/>
        </w:trPr>
        <w:tc>
          <w:tcPr>
            <w:tcW w:w="422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BEFORE TAX</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1,914</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6"/>
                <w:szCs w:val="16"/>
                <w:color w:val="auto"/>
              </w:rPr>
              <w:t>Current income tax expense</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 (expense)/benefit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(95)</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1,872</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(101)</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(53)</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6"/>
                <w:szCs w:val="16"/>
                <w:color w:val="auto"/>
              </w:rPr>
              <w:t>Net income attributable to noncontrolling interests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19"/>
              <w:spacing w:after="0"/>
              <w:rPr>
                <w:sz w:val="20"/>
                <w:szCs w:val="20"/>
                <w:color w:val="auto"/>
              </w:rPr>
            </w:pPr>
            <w:r>
              <w:rPr>
                <w:rFonts w:ascii="Arial" w:cs="Arial" w:eastAsia="Arial" w:hAnsi="Arial"/>
                <w:sz w:val="16"/>
                <w:szCs w:val="16"/>
                <w:color w:val="auto"/>
              </w:rPr>
              <w:t>(1,481)</w:t>
            </w: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(1,488)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79"/>
              <w:spacing w:after="0"/>
              <w:rPr>
                <w:sz w:val="20"/>
                <w:szCs w:val="20"/>
                <w:color w:val="auto"/>
              </w:rPr>
            </w:pPr>
            <w:r>
              <w:rPr>
                <w:rFonts w:ascii="Arial" w:cs="Arial" w:eastAsia="Arial" w:hAnsi="Arial"/>
                <w:sz w:val="16"/>
                <w:szCs w:val="16"/>
                <w:color w:val="auto"/>
              </w:rPr>
              <w:t>(892)</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NET INCOME ATTRIBUTABLE TO PAGP</w:t>
            </w: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2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1,865</w:t>
            </w:r>
          </w:p>
        </w:tc>
        <w:tc>
          <w:tcPr>
            <w:tcW w:w="520" w:type="dxa"/>
            <w:vAlign w:val="bottom"/>
            <w:gridSpan w:val="2"/>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w:t>
            </w: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283</w:t>
            </w:r>
          </w:p>
        </w:tc>
        <w:tc>
          <w:tcPr>
            <w:tcW w:w="2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600" w:type="dxa"/>
            <w:vAlign w:val="bottom"/>
            <w:gridSpan w:val="2"/>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4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NET INCOME PER CLASS A SHARE</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NET INCOME PER CLASS A SHARE</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WEIGHTED AVERAGE CLASS A SHARES</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OUTSTANDING</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WEIGHTED AVERAGE CLASS A SHARES</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OUTSTANDING</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27"/>
          <w:szCs w:val="27"/>
          <w:color w:val="auto"/>
          <w:vertAlign w:val="superscript"/>
        </w:rPr>
      </w:pPr>
      <w:r>
        <w:rPr>
          <w:rFonts w:ascii="Arial" w:cs="Arial" w:eastAsia="Arial" w:hAnsi="Arial"/>
          <w:sz w:val="16"/>
          <w:szCs w:val="16"/>
          <w:color w:val="auto"/>
        </w:rPr>
        <w:t>Represents the aggregate consolidating adjustments necessary to produce consolidated financial statements for PAGP.</w:t>
      </w:r>
    </w:p>
    <w:p>
      <w:pPr>
        <w:spacing w:after="0" w:line="207" w:lineRule="exact"/>
        <w:rPr>
          <w:rFonts w:ascii="Arial" w:cs="Arial" w:eastAsia="Arial" w:hAnsi="Arial"/>
          <w:sz w:val="27"/>
          <w:szCs w:val="27"/>
          <w:color w:val="auto"/>
          <w:vertAlign w:val="superscript"/>
        </w:rPr>
      </w:pPr>
    </w:p>
    <w:p>
      <w:pPr>
        <w:ind w:left="5520" w:hanging="96"/>
        <w:spacing w:after="0"/>
        <w:tabs>
          <w:tab w:leader="none" w:pos="55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Page 25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9"/>
              </w:rPr>
              <w:t>September 30, 2019</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w w:val="92"/>
              </w:rPr>
              <w:t>December 31, 2018</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Consolidating</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3"/>
              </w:rPr>
              <w:t>Consolidating</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PAA</w:t>
            </w:r>
          </w:p>
        </w:tc>
        <w:tc>
          <w:tcPr>
            <w:tcW w:w="220" w:type="dxa"/>
            <w:vAlign w:val="bottom"/>
          </w:tcPr>
          <w:p>
            <w:pPr>
              <w:spacing w:after="0"/>
              <w:rPr>
                <w:sz w:val="22"/>
                <w:szCs w:val="22"/>
                <w:color w:val="auto"/>
              </w:rPr>
            </w:pPr>
          </w:p>
        </w:tc>
        <w:tc>
          <w:tcPr>
            <w:tcW w:w="1280" w:type="dxa"/>
            <w:vAlign w:val="bottom"/>
            <w:gridSpan w:val="3"/>
          </w:tcPr>
          <w:p>
            <w:pPr>
              <w:jc w:val="center"/>
              <w:ind w:right="200"/>
              <w:spacing w:after="0" w:line="255" w:lineRule="exact"/>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7"/>
                <w:szCs w:val="27"/>
                <w:b w:val="1"/>
                <w:bCs w:val="1"/>
                <w:color w:val="auto"/>
                <w:w w:val="87"/>
                <w:vertAlign w:val="superscript"/>
              </w:rPr>
              <w:t>(1)</w:t>
            </w:r>
          </w:p>
        </w:tc>
        <w:tc>
          <w:tcPr>
            <w:tcW w:w="160" w:type="dxa"/>
            <w:vAlign w:val="bottom"/>
          </w:tcPr>
          <w:p>
            <w:pPr>
              <w:spacing w:after="0"/>
              <w:rPr>
                <w:sz w:val="22"/>
                <w:szCs w:val="2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PAGP</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259"/>
              <w:spacing w:after="0"/>
              <w:rPr>
                <w:sz w:val="20"/>
                <w:szCs w:val="20"/>
                <w:color w:val="auto"/>
              </w:rPr>
            </w:pPr>
            <w:r>
              <w:rPr>
                <w:rFonts w:ascii="Arial" w:cs="Arial" w:eastAsia="Arial" w:hAnsi="Arial"/>
                <w:sz w:val="16"/>
                <w:szCs w:val="16"/>
                <w:b w:val="1"/>
                <w:bCs w:val="1"/>
                <w:color w:val="auto"/>
              </w:rPr>
              <w:t>PAA</w:t>
            </w:r>
          </w:p>
        </w:tc>
        <w:tc>
          <w:tcPr>
            <w:tcW w:w="1460" w:type="dxa"/>
            <w:vAlign w:val="bottom"/>
            <w:gridSpan w:val="4"/>
          </w:tcPr>
          <w:p>
            <w:pPr>
              <w:ind w:left="160"/>
              <w:spacing w:after="0" w:line="255" w:lineRule="exact"/>
              <w:rPr>
                <w:sz w:val="20"/>
                <w:szCs w:val="20"/>
                <w:color w:val="auto"/>
              </w:rPr>
            </w:pPr>
            <w:r>
              <w:rPr>
                <w:rFonts w:ascii="Arial" w:cs="Arial" w:eastAsia="Arial" w:hAnsi="Arial"/>
                <w:sz w:val="16"/>
                <w:szCs w:val="16"/>
                <w:b w:val="1"/>
                <w:bCs w:val="1"/>
                <w:color w:val="auto"/>
              </w:rPr>
              <w:t xml:space="preserve">Adjustments </w:t>
            </w:r>
            <w:r>
              <w:rPr>
                <w:rFonts w:ascii="Arial" w:cs="Arial" w:eastAsia="Arial" w:hAnsi="Arial"/>
                <w:sz w:val="27"/>
                <w:szCs w:val="27"/>
                <w:b w:val="1"/>
                <w:bCs w:val="1"/>
                <w:color w:val="auto"/>
                <w:vertAlign w:val="superscript"/>
              </w:rPr>
              <w:t>(1)</w:t>
            </w:r>
          </w:p>
        </w:tc>
        <w:tc>
          <w:tcPr>
            <w:tcW w:w="160" w:type="dxa"/>
            <w:vAlign w:val="bottom"/>
          </w:tcPr>
          <w:p>
            <w:pPr>
              <w:spacing w:after="0"/>
              <w:rPr>
                <w:sz w:val="22"/>
                <w:szCs w:val="22"/>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Current assets</w:t>
            </w:r>
          </w:p>
        </w:tc>
        <w:tc>
          <w:tcPr>
            <w:tcW w:w="7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4,676</w:t>
            </w:r>
          </w:p>
        </w:tc>
        <w:tc>
          <w:tcPr>
            <w:tcW w:w="5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4,678</w:t>
            </w:r>
          </w:p>
        </w:tc>
        <w:tc>
          <w:tcPr>
            <w:tcW w:w="2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3,533</w:t>
            </w: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14,787</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Goodwill</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2,532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2,532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2,521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Investments in unconsolidated entities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3,485</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2,702</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Deferred tax asset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1,301</w:t>
            </w: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1,301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1,304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Linefill and base gas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Long-term operating lease right-of-use assets, net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Long-term inventory</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Other long-term assets, net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893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Total assets</w:t>
            </w: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28,377</w:t>
            </w:r>
          </w:p>
        </w:tc>
        <w:tc>
          <w:tcPr>
            <w:tcW w:w="5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1,313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29,690</w:t>
            </w:r>
          </w:p>
        </w:tc>
        <w:tc>
          <w:tcPr>
            <w:tcW w:w="2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25,511</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PARTNERS’ CAPITAL</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Current liabilities</w:t>
            </w:r>
          </w:p>
        </w:tc>
        <w:tc>
          <w:tcPr>
            <w:tcW w:w="7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4,872</w:t>
            </w:r>
          </w:p>
        </w:tc>
        <w:tc>
          <w:tcPr>
            <w:tcW w:w="5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4,873</w:t>
            </w:r>
          </w:p>
        </w:tc>
        <w:tc>
          <w:tcPr>
            <w:tcW w:w="2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3,456</w:t>
            </w: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3,458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Senior notes, net</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8,941</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8,941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Other long-term debt, net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236</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202</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Long-term operating lease liabilities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Other long-term liabilities and deferred credits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liabilities</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15,266</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15,267</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13,509</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13,511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Partners’ capital excluding noncontrolling interests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(10,823)</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12,002</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(10,156)</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12,135</w:t>
            </w: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12,268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11,473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11,473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partners’ capital</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13,111</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14,423</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12,002</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13,319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900" w:type="dxa"/>
            <w:vAlign w:val="bottom"/>
          </w:tcPr>
          <w:p>
            <w:pPr>
              <w:ind w:left="320"/>
              <w:spacing w:after="0"/>
              <w:rPr>
                <w:sz w:val="20"/>
                <w:szCs w:val="20"/>
                <w:color w:val="auto"/>
              </w:rPr>
            </w:pPr>
            <w:r>
              <w:rPr>
                <w:rFonts w:ascii="Arial" w:cs="Arial" w:eastAsia="Arial" w:hAnsi="Arial"/>
                <w:sz w:val="16"/>
                <w:szCs w:val="16"/>
                <w:color w:val="auto"/>
              </w:rPr>
              <w:t>Total liabilities and partners’ capital</w:t>
            </w:r>
          </w:p>
        </w:tc>
        <w:tc>
          <w:tcPr>
            <w:tcW w:w="7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28,377</w:t>
            </w:r>
          </w:p>
        </w:tc>
        <w:tc>
          <w:tcPr>
            <w:tcW w:w="5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1,313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29,690</w:t>
            </w:r>
          </w:p>
        </w:tc>
        <w:tc>
          <w:tcPr>
            <w:tcW w:w="2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25,511</w:t>
            </w: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1,319</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26,830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27"/>
          <w:szCs w:val="27"/>
          <w:color w:val="auto"/>
          <w:vertAlign w:val="superscript"/>
        </w:rPr>
      </w:pPr>
      <w:r>
        <w:rPr>
          <w:rFonts w:ascii="Arial" w:cs="Arial" w:eastAsia="Arial" w:hAnsi="Arial"/>
          <w:sz w:val="16"/>
          <w:szCs w:val="16"/>
          <w:color w:val="auto"/>
        </w:rPr>
        <w:t>Represents the aggregate consolidating adjustments necessary to produce consolidated financial statements for PAGP.</w:t>
      </w:r>
    </w:p>
    <w:p>
      <w:pPr>
        <w:spacing w:after="0" w:line="207" w:lineRule="exact"/>
        <w:rPr>
          <w:rFonts w:ascii="Arial" w:cs="Arial" w:eastAsia="Arial" w:hAnsi="Arial"/>
          <w:sz w:val="27"/>
          <w:szCs w:val="27"/>
          <w:color w:val="auto"/>
          <w:vertAlign w:val="superscript"/>
        </w:rPr>
      </w:pPr>
    </w:p>
    <w:p>
      <w:pPr>
        <w:ind w:left="5520" w:hanging="96"/>
        <w:spacing w:after="0"/>
        <w:tabs>
          <w:tab w:leader="none" w:pos="55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Page 26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478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ind w:left="3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Net Income per Class A Share</w:t>
            </w: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income attributable to PAGP</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0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283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Class A shares outstanding</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net income per Class A share</w:t>
            </w:r>
          </w:p>
        </w:tc>
        <w:tc>
          <w:tcPr>
            <w:tcW w:w="820" w:type="dxa"/>
            <w:vAlign w:val="bottom"/>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0.41</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income attributable to PAGP</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0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283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5"/>
              </w:rPr>
              <w:t>Incremental net income attributable to PAGP resulting from assumed</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exchange of AAP Management Units</w:t>
            </w:r>
          </w:p>
        </w:tc>
        <w:tc>
          <w:tcPr>
            <w:tcW w:w="8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tcPr>
          <w:p>
            <w:pPr>
              <w:ind w:left="160"/>
              <w:spacing w:after="0" w:line="182" w:lineRule="exact"/>
              <w:rPr>
                <w:sz w:val="20"/>
                <w:szCs w:val="20"/>
                <w:color w:val="auto"/>
              </w:rPr>
            </w:pPr>
            <w:r>
              <w:rPr>
                <w:rFonts w:ascii="Arial" w:cs="Arial" w:eastAsia="Arial" w:hAnsi="Arial"/>
                <w:sz w:val="18"/>
                <w:szCs w:val="18"/>
                <w:color w:val="auto"/>
                <w:w w:val="95"/>
              </w:rPr>
              <w:t>Net income attributable to PAGP including incremental net income from</w:t>
            </w:r>
          </w:p>
        </w:tc>
        <w:tc>
          <w:tcPr>
            <w:tcW w:w="8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assumed exchange of AAP Management Units</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10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284</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Basic weighted average Class A shares outstanding</w:t>
            </w:r>
          </w:p>
        </w:tc>
        <w:tc>
          <w:tcPr>
            <w:tcW w:w="8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4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3"/>
              </w:rPr>
              <w:t>Dilutive shares resulting from assumed exchange of AAP Management</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Units</w:t>
            </w:r>
          </w:p>
        </w:tc>
        <w:tc>
          <w:tcPr>
            <w:tcW w:w="8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Diluted weighted average Class A shares outstanding</w:t>
            </w:r>
          </w:p>
        </w:tc>
        <w:tc>
          <w:tcPr>
            <w:tcW w:w="8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600" w:type="dxa"/>
            <w:vAlign w:val="bottom"/>
          </w:tcPr>
          <w:p>
            <w:pPr>
              <w:ind w:left="160"/>
              <w:spacing w:after="0" w:line="284" w:lineRule="exact"/>
              <w:rPr>
                <w:sz w:val="20"/>
                <w:szCs w:val="20"/>
                <w:color w:val="auto"/>
              </w:rPr>
            </w:pPr>
            <w:r>
              <w:rPr>
                <w:rFonts w:ascii="Arial" w:cs="Arial" w:eastAsia="Arial" w:hAnsi="Arial"/>
                <w:sz w:val="18"/>
                <w:szCs w:val="18"/>
                <w:color w:val="auto"/>
              </w:rPr>
              <w:t xml:space="preserve">Diluted net income per Class A share </w:t>
            </w:r>
            <w:r>
              <w:rPr>
                <w:rFonts w:ascii="Arial" w:cs="Arial" w:eastAsia="Arial" w:hAnsi="Arial"/>
                <w:sz w:val="30"/>
                <w:szCs w:val="30"/>
                <w:color w:val="auto"/>
                <w:vertAlign w:val="superscript"/>
              </w:rPr>
              <w:t>(1)</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0.41</w:t>
            </w:r>
          </w:p>
        </w:tc>
        <w:tc>
          <w:tcPr>
            <w:tcW w:w="10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0.98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340" w:right="340" w:hanging="332"/>
        <w:spacing w:after="0" w:line="249" w:lineRule="auto"/>
        <w:tabs>
          <w:tab w:leader="none" w:pos="340" w:val="left"/>
        </w:tabs>
        <w:numPr>
          <w:ilvl w:val="0"/>
          <w:numId w:val="25"/>
        </w:numPr>
        <w:rPr>
          <w:rFonts w:ascii="Arial" w:cs="Arial" w:eastAsia="Arial" w:hAnsi="Arial"/>
          <w:sz w:val="26"/>
          <w:szCs w:val="26"/>
          <w:color w:val="auto"/>
          <w:vertAlign w:val="superscript"/>
        </w:rPr>
      </w:pPr>
      <w:r>
        <w:rPr>
          <w:rFonts w:ascii="Arial" w:cs="Arial" w:eastAsia="Arial" w:hAnsi="Arial"/>
          <w:sz w:val="16"/>
          <w:szCs w:val="16"/>
          <w:color w:val="auto"/>
        </w:rPr>
        <w:t>For the three and nine months ended September 30, 2019 and 2018, the possible exchange of any AAP units would have had an antidilutive effect on basic net income per Class A share. For the three months ended September 30, 2019 and the three and nine months ended September 30, 2018, the possible exchange of AAP Management units would not have had a dilutive effect on basic net income per Class A share. For the nine months ended September 30, 2019, the possible exchange of AAP Management Units would have had a dilutive effect on basic net income per Class A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300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438"/>
        </w:trPr>
        <w:tc>
          <w:tcPr>
            <w:tcW w:w="4400" w:type="dxa"/>
            <w:vAlign w:val="bottom"/>
            <w:gridSpan w:val="2"/>
          </w:tcPr>
          <w:p>
            <w:pPr>
              <w:spacing w:after="0"/>
              <w:rPr>
                <w:sz w:val="20"/>
                <w:szCs w:val="20"/>
                <w:color w:val="auto"/>
              </w:rPr>
            </w:pPr>
            <w:r>
              <w:rPr>
                <w:rFonts w:ascii="Arial" w:cs="Arial" w:eastAsia="Arial" w:hAnsi="Arial"/>
                <w:sz w:val="18"/>
                <w:szCs w:val="18"/>
                <w:color w:val="auto"/>
              </w:rPr>
              <w:t>Roy Lamoreaux</w:t>
            </w:r>
          </w:p>
        </w:tc>
        <w:tc>
          <w:tcPr>
            <w:tcW w:w="3000" w:type="dxa"/>
            <w:vAlign w:val="bottom"/>
          </w:tcPr>
          <w:p>
            <w:pPr>
              <w:ind w:left="760"/>
              <w:spacing w:after="0"/>
              <w:rPr>
                <w:sz w:val="20"/>
                <w:szCs w:val="20"/>
                <w:color w:val="auto"/>
              </w:rPr>
            </w:pPr>
            <w:r>
              <w:rPr>
                <w:rFonts w:ascii="Arial" w:cs="Arial" w:eastAsia="Arial" w:hAnsi="Arial"/>
                <w:sz w:val="18"/>
                <w:szCs w:val="18"/>
                <w:color w:val="auto"/>
              </w:rPr>
              <w:t>Brett Magill</w:t>
            </w:r>
          </w:p>
        </w:tc>
        <w:tc>
          <w:tcPr>
            <w:tcW w:w="4020" w:type="dxa"/>
            <w:vAlign w:val="bottom"/>
          </w:tcPr>
          <w:p>
            <w:pPr>
              <w:spacing w:after="0"/>
              <w:rPr>
                <w:sz w:val="24"/>
                <w:szCs w:val="24"/>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Vice President, Investor Relations &amp; Communications</w:t>
            </w:r>
          </w:p>
        </w:tc>
        <w:tc>
          <w:tcPr>
            <w:tcW w:w="3000" w:type="dxa"/>
            <w:vAlign w:val="bottom"/>
          </w:tcPr>
          <w:p>
            <w:pPr>
              <w:ind w:left="760"/>
              <w:spacing w:after="0"/>
              <w:rPr>
                <w:sz w:val="20"/>
                <w:szCs w:val="20"/>
                <w:color w:val="auto"/>
              </w:rPr>
            </w:pPr>
            <w:r>
              <w:rPr>
                <w:rFonts w:ascii="Arial" w:cs="Arial" w:eastAsia="Arial" w:hAnsi="Arial"/>
                <w:sz w:val="18"/>
                <w:szCs w:val="18"/>
                <w:color w:val="auto"/>
              </w:rPr>
              <w:t>Director, Investor Relations</w:t>
            </w:r>
          </w:p>
        </w:tc>
        <w:tc>
          <w:tcPr>
            <w:tcW w:w="4020" w:type="dxa"/>
            <w:vAlign w:val="bottom"/>
          </w:tcPr>
          <w:p>
            <w:pPr>
              <w:spacing w:after="0"/>
              <w:rPr>
                <w:sz w:val="18"/>
                <w:szCs w:val="18"/>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3000" w:type="dxa"/>
            <w:vAlign w:val="bottom"/>
          </w:tcPr>
          <w:p>
            <w:pPr>
              <w:jc w:val="right"/>
              <w:ind w:right="1030"/>
              <w:spacing w:after="0"/>
              <w:rPr>
                <w:sz w:val="20"/>
                <w:szCs w:val="20"/>
                <w:color w:val="auto"/>
              </w:rPr>
            </w:pPr>
            <w:r>
              <w:rPr>
                <w:rFonts w:ascii="Arial" w:cs="Arial" w:eastAsia="Arial" w:hAnsi="Arial"/>
                <w:sz w:val="18"/>
                <w:szCs w:val="18"/>
                <w:color w:val="auto"/>
              </w:rPr>
              <w:t>(866) 809-1291</w:t>
            </w:r>
          </w:p>
        </w:tc>
        <w:tc>
          <w:tcPr>
            <w:tcW w:w="402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000" w:type="dxa"/>
            <w:vAlign w:val="bottom"/>
          </w:tcPr>
          <w:p>
            <w:pPr>
              <w:jc w:val="right"/>
              <w:ind w:right="1470"/>
              <w:spacing w:after="0"/>
              <w:rPr>
                <w:sz w:val="20"/>
                <w:szCs w:val="20"/>
                <w:color w:val="auto"/>
              </w:rPr>
            </w:pPr>
            <w:r>
              <w:rPr>
                <w:rFonts w:ascii="Arial" w:cs="Arial" w:eastAsia="Arial" w:hAnsi="Arial"/>
                <w:sz w:val="18"/>
                <w:szCs w:val="18"/>
                <w:color w:val="auto"/>
              </w:rPr>
              <w:t>###</w:t>
            </w:r>
          </w:p>
        </w:tc>
        <w:tc>
          <w:tcPr>
            <w:tcW w:w="4020" w:type="dxa"/>
            <w:vAlign w:val="bottom"/>
          </w:tcPr>
          <w:p>
            <w:pPr>
              <w:spacing w:after="0"/>
              <w:rPr>
                <w:sz w:val="24"/>
                <w:szCs w:val="24"/>
                <w:color w:val="auto"/>
              </w:rPr>
            </w:pPr>
          </w:p>
        </w:tc>
      </w:tr>
      <w:tr>
        <w:trPr>
          <w:trHeight w:val="216"/>
        </w:trPr>
        <w:tc>
          <w:tcPr>
            <w:tcW w:w="64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r>
      <w:tr>
        <w:trPr>
          <w:trHeight w:val="237"/>
        </w:trPr>
        <w:tc>
          <w:tcPr>
            <w:tcW w:w="640" w:type="dxa"/>
            <w:vAlign w:val="bottom"/>
          </w:tcPr>
          <w:p>
            <w:pPr>
              <w:spacing w:after="0"/>
              <w:rPr>
                <w:sz w:val="20"/>
                <w:szCs w:val="20"/>
                <w:color w:val="auto"/>
              </w:rPr>
            </w:pPr>
          </w:p>
        </w:tc>
        <w:tc>
          <w:tcPr>
            <w:tcW w:w="3760" w:type="dxa"/>
            <w:vAlign w:val="bottom"/>
          </w:tcPr>
          <w:p>
            <w:pPr>
              <w:ind w:left="1080"/>
              <w:spacing w:after="0"/>
              <w:rPr>
                <w:sz w:val="20"/>
                <w:szCs w:val="20"/>
                <w:color w:val="auto"/>
              </w:rPr>
            </w:pPr>
            <w:r>
              <w:rPr>
                <w:rFonts w:ascii="Arial" w:cs="Arial" w:eastAsia="Arial" w:hAnsi="Arial"/>
                <w:sz w:val="18"/>
                <w:szCs w:val="18"/>
                <w:b w:val="1"/>
                <w:bCs w:val="1"/>
                <w:color w:val="auto"/>
              </w:rPr>
              <w:t>333 Clay Street, Suite 1600</w:t>
            </w:r>
          </w:p>
        </w:tc>
        <w:tc>
          <w:tcPr>
            <w:tcW w:w="3000" w:type="dxa"/>
            <w:vAlign w:val="bottom"/>
          </w:tcPr>
          <w:p>
            <w:pPr>
              <w:ind w:left="460"/>
              <w:spacing w:after="0"/>
              <w:rPr>
                <w:sz w:val="20"/>
                <w:szCs w:val="20"/>
                <w:color w:val="auto"/>
              </w:rPr>
            </w:pPr>
            <w:r>
              <w:rPr>
                <w:rFonts w:ascii="Arial" w:cs="Arial" w:eastAsia="Arial" w:hAnsi="Arial"/>
                <w:sz w:val="18"/>
                <w:szCs w:val="18"/>
                <w:b w:val="1"/>
                <w:bCs w:val="1"/>
                <w:color w:val="auto"/>
              </w:rPr>
              <w:t>Houston, Texas 77002</w:t>
            </w:r>
          </w:p>
        </w:tc>
        <w:tc>
          <w:tcPr>
            <w:tcW w:w="4020" w:type="dxa"/>
            <w:vAlign w:val="bottom"/>
          </w:tcPr>
          <w:p>
            <w:pPr>
              <w:jc w:val="right"/>
              <w:ind w:right="1490"/>
              <w:spacing w:after="0"/>
              <w:rPr>
                <w:sz w:val="20"/>
                <w:szCs w:val="20"/>
                <w:color w:val="auto"/>
              </w:rPr>
            </w:pPr>
            <w:r>
              <w:rPr>
                <w:rFonts w:ascii="Arial" w:cs="Arial" w:eastAsia="Arial" w:hAnsi="Arial"/>
                <w:sz w:val="18"/>
                <w:szCs w:val="18"/>
                <w:b w:val="1"/>
                <w:bCs w:val="1"/>
                <w:color w:val="auto"/>
              </w:rPr>
              <w:t>713-646-4100 / 866-809-1291</w:t>
            </w:r>
          </w:p>
        </w:tc>
      </w:tr>
      <w:tr>
        <w:trPr>
          <w:trHeight w:val="716"/>
        </w:trPr>
        <w:tc>
          <w:tcPr>
            <w:tcW w:w="6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lvl w:ilvl="1">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lvl w:ilvl="1">
      <w:lvlJc w:val="left"/>
      <w:lvlText w:val="-"/>
      <w:numFmt w:val="bullet"/>
      <w:start w:val="1"/>
    </w:lvl>
  </w:abstractNum>
  <w:abstractNum w:abstractNumId="6">
    <w:nsid w:val="6B68079A"/>
    <w:multiLevelType w:val="hybridMultilevel"/>
    <w:lvl w:ilvl="0">
      <w:lvlJc w:val="left"/>
      <w:lvlText w:val="(%1)"/>
      <w:numFmt w:val="decimal"/>
      <w:start w:val="2"/>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lvl w:ilvl="1">
      <w:lvlJc w:val="left"/>
      <w:lvlText w:val="-"/>
      <w:numFmt w:val="bullet"/>
      <w:start w:val="1"/>
    </w:lvl>
  </w:abstractNum>
  <w:abstractNum w:abstractNumId="9">
    <w:nsid w:val="519B500D"/>
    <w:multiLevelType w:val="hybridMultilevel"/>
    <w:lvl w:ilvl="0">
      <w:lvlJc w:val="left"/>
      <w:lvlText w:val="(%1)"/>
      <w:numFmt w:val="decimal"/>
      <w:start w:val="1"/>
    </w:lvl>
    <w:lvl w:ilvl="1">
      <w:lvlJc w:val="left"/>
      <w:lvlText w:val="-"/>
      <w:numFmt w:val="bullet"/>
      <w:start w:val="1"/>
    </w:lvl>
  </w:abstractNum>
  <w:abstractNum w:abstractNumId="10">
    <w:nsid w:val="431BD7B7"/>
    <w:multiLevelType w:val="hybridMultilevel"/>
    <w:lvl w:ilvl="0">
      <w:lvlJc w:val="left"/>
      <w:lvlText w:val="(%1)"/>
      <w:numFmt w:val="decimal"/>
      <w:start w:val="1"/>
    </w:lvl>
    <w:lvl w:ilvl="1">
      <w:lvlJc w:val="left"/>
      <w:lvlText w:val="-"/>
      <w:numFmt w:val="bullet"/>
      <w:start w:val="1"/>
    </w:lvl>
  </w:abstractNum>
  <w:abstractNum w:abstractNumId="11">
    <w:nsid w:val="3F2DBA31"/>
    <w:multiLevelType w:val="hybridMultilevel"/>
    <w:lvl w:ilvl="0">
      <w:lvlJc w:val="left"/>
      <w:lvlText w:val="(%1)"/>
      <w:numFmt w:val="decimal"/>
      <w:start w:val="1"/>
    </w:lvl>
    <w:lvl w:ilvl="1">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lvl w:ilvl="1">
      <w:lvlJc w:val="left"/>
      <w:lvlText w:val="-"/>
      <w:numFmt w:val="bullet"/>
      <w:start w:val="1"/>
    </w:lvl>
  </w:abstractNum>
  <w:abstractNum w:abstractNumId="15">
    <w:nsid w:val="436C6125"/>
    <w:multiLevelType w:val="hybridMultilevel"/>
    <w:lvl w:ilvl="0">
      <w:lvlJc w:val="left"/>
      <w:lvlText w:val="(%1)"/>
      <w:numFmt w:val="decimal"/>
      <w:start w:val="1"/>
    </w:lvl>
    <w:lvl w:ilvl="1">
      <w:lvlJc w:val="left"/>
      <w:lvlText w:val="-"/>
      <w:numFmt w:val="bullet"/>
      <w:start w:val="1"/>
    </w:lvl>
  </w:abstractNum>
  <w:abstractNum w:abstractNumId="16">
    <w:nsid w:val="628C895D"/>
    <w:multiLevelType w:val="hybridMultilevel"/>
    <w:lvl w:ilvl="0">
      <w:lvlJc w:val="left"/>
      <w:lvlText w:val="(%1)"/>
      <w:numFmt w:val="decimal"/>
      <w:start w:val="1"/>
    </w:lvl>
    <w:lvl w:ilvl="1">
      <w:lvlJc w:val="left"/>
      <w:lvlText w:val="-"/>
      <w:numFmt w:val="bullet"/>
      <w:start w:val="1"/>
    </w:lvl>
  </w:abstractNum>
  <w:abstractNum w:abstractNumId="17">
    <w:nsid w:val="333AB105"/>
    <w:multiLevelType w:val="hybridMultilevel"/>
    <w:lvl w:ilvl="0">
      <w:lvlJc w:val="left"/>
      <w:lvlText w:val="(%1)"/>
      <w:numFmt w:val="decimal"/>
      <w:start w:val="1"/>
    </w:lvl>
    <w:lvl w:ilvl="1">
      <w:lvlJc w:val="left"/>
      <w:lvlText w:val="-"/>
      <w:numFmt w:val="bullet"/>
      <w:start w:val="1"/>
    </w:lvl>
  </w:abstractNum>
  <w:abstractNum w:abstractNumId="18">
    <w:nsid w:val="721DA317"/>
    <w:multiLevelType w:val="hybridMultilevel"/>
    <w:lvl w:ilvl="0">
      <w:lvlJc w:val="left"/>
      <w:lvlText w:val="(%1)"/>
      <w:numFmt w:val="decimal"/>
      <w:start w:val="1"/>
    </w:lvl>
    <w:lvl w:ilvl="1">
      <w:lvlJc w:val="left"/>
      <w:lvlText w:val="-"/>
      <w:numFmt w:val="bullet"/>
      <w:start w:val="1"/>
    </w:lvl>
  </w:abstractNum>
  <w:abstractNum w:abstractNumId="19">
    <w:nsid w:val="2443A858"/>
    <w:multiLevelType w:val="hybridMultilevel"/>
    <w:lvl w:ilvl="0">
      <w:lvlJc w:val="left"/>
      <w:lvlText w:val="(%1)"/>
      <w:numFmt w:val="decimal"/>
      <w:start w:val="1"/>
    </w:lvl>
    <w:lvl w:ilvl="1">
      <w:lvlJc w:val="left"/>
      <w:lvlText w:val="-"/>
      <w:numFmt w:val="bullet"/>
      <w:start w:val="1"/>
    </w:lvl>
  </w:abstractNum>
  <w:abstractNum w:abstractNumId="20">
    <w:nsid w:val="2D1D5AE9"/>
    <w:multiLevelType w:val="hybridMultilevel"/>
    <w:lvl w:ilvl="0">
      <w:lvlJc w:val="left"/>
      <w:lvlText w:val="(%1)"/>
      <w:numFmt w:val="decimal"/>
      <w:start w:val="1"/>
    </w:lvl>
    <w:lvl w:ilvl="1">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
      <w:numFmt w:val="bullet"/>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2020-01-09T06:46:46Z</dcterms:created>
  <dcterms:modified xsi:type="dcterms:W3CDTF">2020-01-09T06:46:46Z</dcterms:modified>
</cp:coreProperties>
</file>