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380" w:type="dxa"/>
            <w:vAlign w:val="bottom"/>
          </w:tcPr>
          <w:p>
            <w:pPr>
              <w:jc w:val="center"/>
              <w:ind w:right="3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2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78"/>
              <w:spacing w:after="0" w:line="132"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3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9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80" w:type="dxa"/>
            <w:vAlign w:val="bottom"/>
            <w:vMerge w:val="restart"/>
          </w:tcPr>
          <w:p>
            <w:pPr>
              <w:jc w:val="center"/>
              <w:ind w:right="37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5376545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12700</wp:posOffset>
            </wp:positionV>
            <wp:extent cx="7281545" cy="9223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1545" cy="92233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640"/>
            <w:col w:w="868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KAFU HOLDINGS, L.P.</w:t>
        </w:r>
      </w:hyperlink>
    </w:p>
    <w:p>
      <w:pPr>
        <w:spacing w:after="0" w:line="301"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1060"/>
        <w:spacing w:after="0" w:line="359" w:lineRule="auto"/>
        <w:rPr>
          <w:sz w:val="20"/>
          <w:szCs w:val="20"/>
          <w:color w:val="auto"/>
        </w:rPr>
      </w:pPr>
      <w:r>
        <w:rPr>
          <w:rFonts w:ascii="Arial" w:cs="Arial" w:eastAsia="Arial" w:hAnsi="Arial"/>
          <w:sz w:val="16"/>
          <w:szCs w:val="16"/>
          <w:color w:val="0000FF"/>
        </w:rPr>
        <w:t>1800 AVENUE OF THE STARS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9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11/25/2013</w:t>
      </w:r>
    </w:p>
    <w:p>
      <w:pPr>
        <w:spacing w:after="0" w:line="20" w:lineRule="exact"/>
        <w:rPr>
          <w:sz w:val="24"/>
          <w:szCs w:val="24"/>
          <w:color w:val="auto"/>
        </w:rPr>
      </w:pPr>
      <w:r>
        <w:rPr>
          <w:sz w:val="24"/>
          <w:szCs w:val="24"/>
          <w:color w:val="auto"/>
        </w:rPr>
        <w:br w:type="column"/>
      </w:r>
    </w:p>
    <w:p>
      <w:pPr>
        <w:ind w:left="5" w:right="820" w:hanging="5"/>
        <w:spacing w:after="0" w:line="23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25" w:val="left"/>
          <w:tab w:leader="none" w:pos="1825" w:val="left"/>
          <w:tab w:leader="none" w:pos="2165"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5" w:lineRule="exact"/>
        <w:rPr>
          <w:sz w:val="24"/>
          <w:szCs w:val="24"/>
          <w:color w:val="auto"/>
        </w:rPr>
      </w:pPr>
    </w:p>
    <w:p>
      <w:pPr>
        <w:jc w:val="right"/>
        <w:ind w:right="50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5"/>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7" w:lineRule="exact"/>
        <w:rPr>
          <w:sz w:val="24"/>
          <w:szCs w:val="24"/>
          <w:color w:val="auto"/>
        </w:rPr>
      </w:pPr>
    </w:p>
    <w:p>
      <w:pPr>
        <w:sectPr>
          <w:pgSz w:w="11900" w:h="16838" w:orient="portrait"/>
          <w:cols w:equalWidth="0" w:num="3">
            <w:col w:w="3340" w:space="720"/>
            <w:col w:w="3275" w:space="720"/>
            <w:col w:w="3465"/>
          </w:cols>
          <w:pgMar w:left="240" w:top="219" w:right="139" w:bottom="0" w:gutter="0" w:footer="0" w:header="0"/>
          <w:type w:val="continuous"/>
        </w:sect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100" w:type="dxa"/>
            <w:vAlign w:val="bottom"/>
            <w:tcBorders>
              <w:right w:val="single" w:sz="8" w:color="9A9A9A"/>
            </w:tcBorders>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4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380" w:type="dxa"/>
            <w:vAlign w:val="bottom"/>
            <w:gridSpan w:val="11"/>
            <w:vMerge w:val="restart"/>
          </w:tcPr>
          <w:p>
            <w:pPr>
              <w:ind w:left="140"/>
              <w:spacing w:after="0"/>
              <w:rPr>
                <w:sz w:val="20"/>
                <w:szCs w:val="20"/>
                <w:color w:val="auto"/>
              </w:rPr>
            </w:pPr>
            <w:r>
              <w:rPr>
                <w:rFonts w:ascii="Arial" w:cs="Arial" w:eastAsia="Arial" w:hAnsi="Arial"/>
                <w:sz w:val="13"/>
                <w:szCs w:val="13"/>
                <w:color w:val="auto"/>
                <w:w w:val="97"/>
              </w:rPr>
              <w:t>4. If Amendment, Date of Original Filed (Month/Day/Year)</w:t>
            </w: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80" w:type="dxa"/>
            <w:vAlign w:val="bottom"/>
            <w:gridSpan w:val="11"/>
            <w:vMerge w:val="continue"/>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0000FF"/>
              </w:rPr>
              <w:t>77002</w:t>
            </w:r>
          </w:p>
        </w:tc>
        <w:tc>
          <w:tcPr>
            <w:tcW w:w="160" w:type="dxa"/>
            <w:vAlign w:val="bottom"/>
          </w:tcPr>
          <w:p>
            <w:pPr>
              <w:spacing w:after="0"/>
              <w:rPr>
                <w:sz w:val="13"/>
                <w:szCs w:val="13"/>
                <w:color w:val="auto"/>
              </w:rPr>
            </w:pPr>
          </w:p>
        </w:tc>
        <w:tc>
          <w:tcPr>
            <w:tcW w:w="1220" w:type="dxa"/>
            <w:vAlign w:val="bottom"/>
            <w:gridSpan w:val="4"/>
          </w:tcPr>
          <w:p>
            <w:pPr>
              <w:ind w:left="140"/>
              <w:spacing w:after="0" w:line="160" w:lineRule="exact"/>
              <w:rPr>
                <w:sz w:val="20"/>
                <w:szCs w:val="20"/>
                <w:color w:val="auto"/>
              </w:rPr>
            </w:pPr>
            <w:r>
              <w:rPr>
                <w:rFonts w:ascii="Arial" w:cs="Arial" w:eastAsia="Arial" w:hAnsi="Arial"/>
                <w:sz w:val="16"/>
                <w:szCs w:val="16"/>
                <w:color w:val="0000FF"/>
              </w:rPr>
              <w:t>11/26/2013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gridSpan w:val="5"/>
          </w:tcPr>
          <w:p>
            <w:pPr>
              <w:ind w:left="100"/>
              <w:spacing w:after="0"/>
              <w:rPr>
                <w:sz w:val="20"/>
                <w:szCs w:val="20"/>
                <w:color w:val="auto"/>
              </w:rPr>
            </w:pPr>
            <w:r>
              <w:rPr>
                <w:rFonts w:ascii="Arial" w:cs="Arial" w:eastAsia="Arial" w:hAnsi="Arial"/>
                <w:sz w:val="13"/>
                <w:szCs w:val="13"/>
                <w:color w:val="auto"/>
                <w:w w:val="98"/>
              </w:rPr>
              <w:t>Form filed by One Reporting Person</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Arial" w:cs="Arial" w:eastAsia="Arial" w:hAnsi="Arial"/>
                <w:sz w:val="16"/>
                <w:szCs w:val="16"/>
                <w:color w:val="0000FF"/>
              </w:rPr>
              <w:t>LOS ANGELES  CA</w:t>
            </w:r>
          </w:p>
        </w:tc>
        <w:tc>
          <w:tcPr>
            <w:tcW w:w="1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gridSpan w:val="11"/>
            <w:vMerge w:val="restart"/>
          </w:tcPr>
          <w:p>
            <w:pPr>
              <w:ind w:left="5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gridSpan w:val="2"/>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(City)</w:t>
            </w:r>
          </w:p>
        </w:tc>
        <w:tc>
          <w:tcPr>
            <w:tcW w:w="1760" w:type="dxa"/>
            <w:vAlign w:val="bottom"/>
            <w:gridSpan w:val="4"/>
          </w:tcPr>
          <w:p>
            <w:pPr>
              <w:ind w:left="500"/>
              <w:spacing w:after="0"/>
              <w:rPr>
                <w:sz w:val="20"/>
                <w:szCs w:val="20"/>
                <w:color w:val="auto"/>
              </w:rPr>
            </w:pPr>
            <w:r>
              <w:rPr>
                <w:rFonts w:ascii="Arial" w:cs="Arial" w:eastAsia="Arial" w:hAnsi="Arial"/>
                <w:sz w:val="13"/>
                <w:szCs w:val="13"/>
                <w:color w:val="auto"/>
              </w:rPr>
              <w:t>(State)</w:t>
            </w:r>
          </w:p>
        </w:tc>
        <w:tc>
          <w:tcPr>
            <w:tcW w:w="112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9"/>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060" w:type="dxa"/>
            <w:vAlign w:val="bottom"/>
            <w:tcBorders>
              <w:top w:val="single" w:sz="8" w:color="2C2C2C"/>
            </w:tcBorders>
            <w:gridSpan w:val="19"/>
          </w:tcPr>
          <w:p>
            <w:pPr>
              <w:jc w:val="right"/>
              <w:ind w:right="34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94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264"/>
              <w:spacing w:after="0"/>
              <w:rPr>
                <w:sz w:val="20"/>
                <w:szCs w:val="20"/>
                <w:color w:val="auto"/>
              </w:rPr>
            </w:pPr>
            <w:r>
              <w:rPr>
                <w:rFonts w:ascii="Arial" w:cs="Arial" w:eastAsia="Arial" w:hAnsi="Arial"/>
                <w:sz w:val="11"/>
                <w:szCs w:val="11"/>
                <w:b w:val="1"/>
                <w:bCs w:val="1"/>
                <w:color w:val="auto"/>
                <w:w w:val="86"/>
              </w:rPr>
              <w:t>3.</w:t>
            </w:r>
          </w:p>
        </w:tc>
        <w:tc>
          <w:tcPr>
            <w:tcW w:w="300" w:type="dxa"/>
            <w:vAlign w:val="bottom"/>
          </w:tcPr>
          <w:p>
            <w:pPr>
              <w:spacing w:after="0"/>
              <w:rPr>
                <w:sz w:val="14"/>
                <w:szCs w:val="14"/>
                <w:color w:val="auto"/>
              </w:rPr>
            </w:pPr>
          </w:p>
        </w:tc>
        <w:tc>
          <w:tcPr>
            <w:tcW w:w="204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gridSpan w:val="2"/>
          </w:tcPr>
          <w:p>
            <w:pPr>
              <w:ind w:left="940"/>
              <w:spacing w:after="0" w:line="123"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6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20" w:type="dxa"/>
            <w:vAlign w:val="bottom"/>
            <w:gridSpan w:val="5"/>
          </w:tcPr>
          <w:p>
            <w:pPr>
              <w:ind w:left="9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jc w:val="right"/>
              <w:ind w:right="264"/>
              <w:spacing w:after="0"/>
              <w:rPr>
                <w:sz w:val="20"/>
                <w:szCs w:val="20"/>
                <w:color w:val="auto"/>
              </w:rPr>
            </w:pPr>
            <w:r>
              <w:rPr>
                <w:rFonts w:ascii="Arial" w:cs="Arial" w:eastAsia="Arial" w:hAnsi="Arial"/>
                <w:sz w:val="11"/>
                <w:szCs w:val="11"/>
                <w:b w:val="1"/>
                <w:bCs w:val="1"/>
                <w:color w:val="auto"/>
                <w:w w:val="81"/>
              </w:rPr>
              <w:t>8)</w:t>
            </w: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Following Reported</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300" w:type="dxa"/>
            <w:vAlign w:val="bottom"/>
          </w:tcPr>
          <w:p>
            <w:pPr>
              <w:spacing w:after="0"/>
              <w:rPr>
                <w:sz w:val="10"/>
                <w:szCs w:val="10"/>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9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6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2880" w:type="dxa"/>
            <w:vAlign w:val="bottom"/>
            <w:tcBorders>
              <w:bottom w:val="single" w:sz="8" w:color="2C2C2C"/>
            </w:tcBorders>
            <w:gridSpan w:val="9"/>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8"/>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0" w:type="dxa"/>
            <w:vAlign w:val="bottom"/>
            <w:gridSpan w:val="16"/>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3"/>
          </w:tcPr>
          <w:p>
            <w:pPr>
              <w:ind w:left="1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6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gridSpan w:val="3"/>
          </w:tcPr>
          <w:p>
            <w:pPr>
              <w:ind w:left="12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0"/>
                <w:szCs w:val="10"/>
                <w:color w:val="auto"/>
              </w:rPr>
            </w:pP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420" w:type="dxa"/>
            <w:vAlign w:val="bottom"/>
          </w:tcPr>
          <w:p>
            <w:pPr>
              <w:spacing w:after="0"/>
              <w:rPr>
                <w:sz w:val="10"/>
                <w:szCs w:val="10"/>
                <w:color w:val="auto"/>
              </w:rPr>
            </w:pPr>
          </w:p>
        </w:tc>
        <w:tc>
          <w:tcPr>
            <w:tcW w:w="162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gridSpan w:val="3"/>
          </w:tcPr>
          <w:p>
            <w:pPr>
              <w:ind w:left="1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0"/>
                <w:szCs w:val="10"/>
                <w:color w:val="auto"/>
              </w:rPr>
            </w:pP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spacing w:after="0"/>
              <w:rPr>
                <w:sz w:val="10"/>
                <w:szCs w:val="10"/>
                <w:color w:val="auto"/>
              </w:rPr>
            </w:pPr>
          </w:p>
        </w:tc>
        <w:tc>
          <w:tcPr>
            <w:tcW w:w="162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 (Instr. 3</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1"/>
              </w:rPr>
              <w:t>8)</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4)</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8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0"/>
                <w:szCs w:val="10"/>
                <w:color w:val="auto"/>
              </w:rPr>
            </w:pP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See</w:t>
            </w:r>
          </w:p>
        </w:tc>
        <w:tc>
          <w:tcPr>
            <w:tcW w:w="70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gridSpan w:val="3"/>
            <w:vMerge w:val="restart"/>
          </w:tcPr>
          <w:p>
            <w:pPr>
              <w:ind w:left="300"/>
              <w:spacing w:after="0"/>
              <w:rPr>
                <w:sz w:val="20"/>
                <w:szCs w:val="20"/>
                <w:color w:val="auto"/>
              </w:rPr>
            </w:pPr>
            <w:r>
              <w:rPr>
                <w:rFonts w:ascii="Arial" w:cs="Arial" w:eastAsia="Arial" w:hAnsi="Arial"/>
                <w:sz w:val="13"/>
                <w:szCs w:val="13"/>
                <w:color w:val="0000FF"/>
              </w:rPr>
              <w:t>11/25/2013</w:t>
            </w:r>
          </w:p>
        </w:tc>
        <w:tc>
          <w:tcPr>
            <w:tcW w:w="1120" w:type="dxa"/>
            <w:vAlign w:val="bottom"/>
          </w:tcPr>
          <w:p>
            <w:pPr>
              <w:spacing w:after="0"/>
              <w:rPr>
                <w:sz w:val="15"/>
                <w:szCs w:val="15"/>
                <w:color w:val="auto"/>
              </w:rPr>
            </w:pPr>
          </w:p>
        </w:tc>
        <w:tc>
          <w:tcPr>
            <w:tcW w:w="160" w:type="dxa"/>
            <w:vAlign w:val="bottom"/>
            <w:vMerge w:val="restart"/>
          </w:tcPr>
          <w:p>
            <w:pPr>
              <w:ind w:left="120"/>
              <w:spacing w:after="0"/>
              <w:rPr>
                <w:sz w:val="20"/>
                <w:szCs w:val="20"/>
                <w:color w:val="auto"/>
              </w:rPr>
            </w:pPr>
            <w:r>
              <w:rPr>
                <w:rFonts w:ascii="Arial" w:cs="Arial" w:eastAsia="Arial" w:hAnsi="Arial"/>
                <w:sz w:val="5"/>
                <w:szCs w:val="5"/>
                <w:color w:val="0000FF"/>
                <w:w w:val="78"/>
              </w:rPr>
              <w:t>J</w:t>
            </w:r>
          </w:p>
        </w:tc>
        <w:tc>
          <w:tcPr>
            <w:tcW w:w="260" w:type="dxa"/>
            <w:vAlign w:val="bottom"/>
            <w:vMerge w:val="restart"/>
          </w:tcPr>
          <w:p>
            <w:pPr>
              <w:jc w:val="right"/>
              <w:ind w:right="74"/>
              <w:spacing w:after="0"/>
              <w:rPr>
                <w:sz w:val="20"/>
                <w:szCs w:val="20"/>
                <w:color w:val="auto"/>
              </w:rPr>
            </w:pPr>
            <w:r>
              <w:rPr>
                <w:rFonts w:ascii="Arial" w:cs="Arial" w:eastAsia="Arial" w:hAnsi="Arial"/>
                <w:sz w:val="10"/>
                <w:szCs w:val="10"/>
                <w:color w:val="008000"/>
                <w:w w:val="81"/>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ind w:left="40"/>
              <w:spacing w:after="0"/>
              <w:rPr>
                <w:sz w:val="20"/>
                <w:szCs w:val="20"/>
                <w:color w:val="auto"/>
              </w:rPr>
            </w:pPr>
            <w:r>
              <w:rPr>
                <w:rFonts w:ascii="Arial" w:cs="Arial" w:eastAsia="Arial" w:hAnsi="Arial"/>
                <w:sz w:val="13"/>
                <w:szCs w:val="13"/>
                <w:color w:val="0000FF"/>
              </w:rPr>
              <w:t>492,791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4"/>
              <w:spacing w:after="0"/>
              <w:rPr>
                <w:sz w:val="20"/>
                <w:szCs w:val="20"/>
                <w:color w:val="auto"/>
              </w:rPr>
            </w:pPr>
            <w:r>
              <w:rPr>
                <w:rFonts w:ascii="Arial" w:cs="Arial" w:eastAsia="Arial" w:hAnsi="Arial"/>
                <w:sz w:val="10"/>
                <w:szCs w:val="10"/>
                <w:color w:val="008000"/>
                <w:w w:val="97"/>
              </w:rPr>
              <w:t>(1)</w:t>
            </w:r>
          </w:p>
        </w:tc>
        <w:tc>
          <w:tcPr>
            <w:tcW w:w="300" w:type="dxa"/>
            <w:vAlign w:val="bottom"/>
          </w:tcPr>
          <w:p>
            <w:pPr>
              <w:spacing w:after="0"/>
              <w:rPr>
                <w:sz w:val="15"/>
                <w:szCs w:val="15"/>
                <w:color w:val="auto"/>
              </w:rPr>
            </w:pPr>
          </w:p>
        </w:tc>
        <w:tc>
          <w:tcPr>
            <w:tcW w:w="420" w:type="dxa"/>
            <w:vAlign w:val="bottom"/>
            <w:vMerge w:val="restart"/>
          </w:tcPr>
          <w:p>
            <w:pPr>
              <w:jc w:val="right"/>
              <w:ind w:right="224"/>
              <w:spacing w:after="0"/>
              <w:rPr>
                <w:sz w:val="20"/>
                <w:szCs w:val="20"/>
                <w:color w:val="auto"/>
              </w:rPr>
            </w:pPr>
            <w:r>
              <w:rPr>
                <w:rFonts w:ascii="Arial" w:cs="Arial" w:eastAsia="Arial" w:hAnsi="Arial"/>
                <w:sz w:val="10"/>
                <w:szCs w:val="10"/>
                <w:color w:val="008000"/>
                <w:w w:val="97"/>
              </w:rPr>
              <w:t>(1)</w:t>
            </w:r>
          </w:p>
        </w:tc>
        <w:tc>
          <w:tcPr>
            <w:tcW w:w="740" w:type="dxa"/>
            <w:vAlign w:val="bottom"/>
            <w:gridSpan w:val="2"/>
          </w:tcPr>
          <w:p>
            <w:pPr>
              <w:ind w:left="180"/>
              <w:spacing w:after="0"/>
              <w:rPr>
                <w:sz w:val="20"/>
                <w:szCs w:val="20"/>
                <w:color w:val="auto"/>
              </w:rPr>
            </w:pPr>
            <w:r>
              <w:rPr>
                <w:rFonts w:ascii="Arial" w:cs="Arial" w:eastAsia="Arial" w:hAnsi="Arial"/>
                <w:sz w:val="13"/>
                <w:szCs w:val="13"/>
                <w:color w:val="0000FF"/>
              </w:rPr>
              <w:t>Class A</w:t>
            </w:r>
          </w:p>
        </w:tc>
        <w:tc>
          <w:tcPr>
            <w:tcW w:w="880" w:type="dxa"/>
            <w:vAlign w:val="bottom"/>
            <w:gridSpan w:val="2"/>
            <w:vMerge w:val="restart"/>
          </w:tcPr>
          <w:p>
            <w:pPr>
              <w:ind w:left="60"/>
              <w:spacing w:after="0"/>
              <w:rPr>
                <w:sz w:val="20"/>
                <w:szCs w:val="20"/>
                <w:color w:val="auto"/>
              </w:rPr>
            </w:pPr>
            <w:r>
              <w:rPr>
                <w:rFonts w:ascii="Arial" w:cs="Arial" w:eastAsia="Arial" w:hAnsi="Arial"/>
                <w:sz w:val="16"/>
                <w:szCs w:val="16"/>
                <w:color w:val="0000FF"/>
                <w:w w:val="89"/>
              </w:rPr>
              <w:t>104,161,328</w:t>
            </w:r>
          </w:p>
        </w:tc>
        <w:tc>
          <w:tcPr>
            <w:tcW w:w="78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ind w:left="100"/>
              <w:spacing w:after="0"/>
              <w:rPr>
                <w:sz w:val="20"/>
                <w:szCs w:val="20"/>
                <w:color w:val="auto"/>
              </w:rPr>
            </w:pPr>
            <w:r>
              <w:rPr>
                <w:rFonts w:ascii="Arial" w:cs="Arial" w:eastAsia="Arial" w:hAnsi="Arial"/>
                <w:sz w:val="13"/>
                <w:szCs w:val="13"/>
                <w:color w:val="0000FF"/>
              </w:rPr>
              <w:t>104,161,328</w:t>
            </w:r>
          </w:p>
        </w:tc>
        <w:tc>
          <w:tcPr>
            <w:tcW w:w="280" w:type="dxa"/>
            <w:vAlign w:val="bottom"/>
            <w:vMerge w:val="restart"/>
          </w:tcPr>
          <w:p>
            <w:pPr>
              <w:ind w:left="200"/>
              <w:spacing w:after="0"/>
              <w:rPr>
                <w:sz w:val="20"/>
                <w:szCs w:val="20"/>
                <w:color w:val="auto"/>
              </w:rPr>
            </w:pPr>
            <w:r>
              <w:rPr>
                <w:rFonts w:ascii="Arial" w:cs="Arial" w:eastAsia="Arial" w:hAnsi="Arial"/>
                <w:sz w:val="10"/>
                <w:szCs w:val="10"/>
                <w:color w:val="0000FF"/>
                <w:w w:val="82"/>
              </w:rPr>
              <w:t>D</w:t>
            </w:r>
          </w:p>
        </w:tc>
        <w:tc>
          <w:tcPr>
            <w:tcW w:w="300" w:type="dxa"/>
            <w:vAlign w:val="bottom"/>
            <w:vMerge w:val="restart"/>
          </w:tcPr>
          <w:p>
            <w:pPr>
              <w:jc w:val="right"/>
              <w:ind w:right="8"/>
              <w:spacing w:after="0"/>
              <w:rPr>
                <w:sz w:val="20"/>
                <w:szCs w:val="20"/>
                <w:color w:val="auto"/>
              </w:rPr>
            </w:pPr>
            <w:r>
              <w:rPr>
                <w:rFonts w:ascii="Arial" w:cs="Arial" w:eastAsia="Arial" w:hAnsi="Arial"/>
                <w:sz w:val="10"/>
                <w:szCs w:val="10"/>
                <w:color w:val="008000"/>
                <w:w w:val="89"/>
              </w:rPr>
              <w:t>(1)(2)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tcPr>
          <w:p>
            <w:pPr>
              <w:ind w:left="60"/>
              <w:spacing w:after="0" w:line="64" w:lineRule="exact"/>
              <w:rPr>
                <w:sz w:val="20"/>
                <w:szCs w:val="20"/>
                <w:color w:val="auto"/>
              </w:rPr>
            </w:pPr>
            <w:r>
              <w:rPr>
                <w:rFonts w:ascii="Arial" w:cs="Arial" w:eastAsia="Arial" w:hAnsi="Arial"/>
                <w:sz w:val="6"/>
                <w:szCs w:val="6"/>
                <w:color w:val="0000FF"/>
              </w:rPr>
              <w:t>Footnotes</w:t>
            </w:r>
            <w:r>
              <w:rPr>
                <w:rFonts w:ascii="Arial" w:cs="Arial" w:eastAsia="Arial" w:hAnsi="Arial"/>
                <w:sz w:val="7"/>
                <w:szCs w:val="7"/>
                <w:color w:val="008000"/>
                <w:vertAlign w:val="superscript"/>
              </w:rPr>
              <w:t>(1)(2)</w:t>
            </w:r>
          </w:p>
        </w:tc>
        <w:tc>
          <w:tcPr>
            <w:tcW w:w="700" w:type="dxa"/>
            <w:vAlign w:val="bottom"/>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740" w:type="dxa"/>
            <w:vAlign w:val="bottom"/>
            <w:gridSpan w:val="2"/>
          </w:tcPr>
          <w:p>
            <w:pPr>
              <w:ind w:left="80"/>
              <w:spacing w:after="0" w:line="64"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(1)(2)</w:t>
            </w:r>
          </w:p>
        </w:tc>
        <w:tc>
          <w:tcPr>
            <w:tcW w:w="8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920" w:type="dxa"/>
            <w:vAlign w:val="bottom"/>
            <w:tcBorders>
              <w:bottom w:val="single" w:sz="8" w:color="2C2C2C"/>
            </w:tcBorders>
            <w:gridSpan w:val="3"/>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620" w:type="dxa"/>
            <w:vAlign w:val="bottom"/>
            <w:tcBorders>
              <w:top w:val="single" w:sz="8" w:color="2C2C2C"/>
            </w:tcBorders>
            <w:gridSpan w:val="6"/>
          </w:tcPr>
          <w:p>
            <w:pPr>
              <w:ind w:left="60"/>
              <w:spacing w:after="0" w:line="22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1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spacing w:after="0" w:line="210" w:lineRule="exact"/>
              <w:rPr>
                <w:rFonts w:ascii="Arial" w:cs="Arial" w:eastAsia="Arial" w:hAnsi="Arial"/>
                <w:sz w:val="20"/>
                <w:szCs w:val="20"/>
                <w:color w:val="0000EE"/>
              </w:rPr>
            </w:pPr>
            <w:hyperlink r:id="rId12">
              <w:r>
                <w:rPr>
                  <w:rFonts w:ascii="Arial" w:cs="Arial" w:eastAsia="Arial" w:hAnsi="Arial"/>
                  <w:sz w:val="20"/>
                  <w:szCs w:val="20"/>
                  <w:color w:val="0000EE"/>
                </w:rPr>
                <w:t>KAFU HOLDINGS, L.P.</w:t>
              </w:r>
            </w:hyperlink>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ind w:left="4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gridSpan w:val="5"/>
          </w:tcPr>
          <w:p>
            <w:pPr>
              <w:spacing w:after="0"/>
              <w:rPr>
                <w:sz w:val="20"/>
                <w:szCs w:val="20"/>
                <w:color w:val="auto"/>
              </w:rPr>
            </w:pPr>
            <w:r>
              <w:rPr>
                <w:rFonts w:ascii="Arial" w:cs="Arial" w:eastAsia="Arial" w:hAnsi="Arial"/>
                <w:sz w:val="16"/>
                <w:szCs w:val="16"/>
                <w:color w:val="0000FF"/>
              </w:rPr>
              <w:t>1800 AVENUE OF THE STARS</w:t>
            </w: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6"/>
                <w:szCs w:val="16"/>
                <w:color w:val="0000FF"/>
              </w:rPr>
              <w:t>3RD FLOOR</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6"/>
                <w:szCs w:val="16"/>
                <w:color w:val="0000FF"/>
              </w:rPr>
              <w:t>LOS ANGELES</w:t>
            </w:r>
          </w:p>
        </w:tc>
        <w:tc>
          <w:tcPr>
            <w:tcW w:w="1060" w:type="dxa"/>
            <w:vAlign w:val="bottom"/>
            <w:gridSpan w:val="3"/>
          </w:tcPr>
          <w:p>
            <w:pPr>
              <w:spacing w:after="0"/>
              <w:rPr>
                <w:sz w:val="20"/>
                <w:szCs w:val="20"/>
                <w:color w:val="auto"/>
              </w:rPr>
            </w:pPr>
            <w:r>
              <w:rPr>
                <w:rFonts w:ascii="Arial" w:cs="Arial" w:eastAsia="Arial" w:hAnsi="Arial"/>
                <w:sz w:val="16"/>
                <w:szCs w:val="16"/>
                <w:color w:val="0000FF"/>
              </w:rPr>
              <w:t>CA</w:t>
            </w:r>
          </w:p>
        </w:tc>
        <w:tc>
          <w:tcPr>
            <w:tcW w:w="1120" w:type="dxa"/>
            <w:vAlign w:val="bottom"/>
          </w:tcPr>
          <w:p>
            <w:pPr>
              <w:ind w:left="400"/>
              <w:spacing w:after="0"/>
              <w:rPr>
                <w:sz w:val="20"/>
                <w:szCs w:val="20"/>
                <w:color w:val="auto"/>
              </w:rPr>
            </w:pPr>
            <w:r>
              <w:rPr>
                <w:rFonts w:ascii="Arial" w:cs="Arial" w:eastAsia="Arial" w:hAnsi="Arial"/>
                <w:sz w:val="16"/>
                <w:szCs w:val="16"/>
                <w:color w:val="0000FF"/>
              </w:rPr>
              <w:t>77002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4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spacing w:after="0" w:line="210" w:lineRule="exact"/>
              <w:rPr>
                <w:rFonts w:ascii="Arial" w:cs="Arial" w:eastAsia="Arial" w:hAnsi="Arial"/>
                <w:sz w:val="20"/>
                <w:szCs w:val="20"/>
                <w:color w:val="0000EE"/>
              </w:rPr>
            </w:pPr>
            <w:hyperlink r:id="rId14">
              <w:r>
                <w:rPr>
                  <w:rFonts w:ascii="Arial" w:cs="Arial" w:eastAsia="Arial" w:hAnsi="Arial"/>
                  <w:sz w:val="20"/>
                  <w:szCs w:val="20"/>
                  <w:color w:val="0000EE"/>
                </w:rPr>
                <w:t>KAFU Holdings II, L.P.</w:t>
              </w:r>
            </w:hyperlink>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ind w:left="4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gridSpan w:val="5"/>
          </w:tcPr>
          <w:p>
            <w:pPr>
              <w:spacing w:after="0"/>
              <w:rPr>
                <w:sz w:val="20"/>
                <w:szCs w:val="20"/>
                <w:color w:val="auto"/>
              </w:rPr>
            </w:pPr>
            <w:r>
              <w:rPr>
                <w:rFonts w:ascii="Arial" w:cs="Arial" w:eastAsia="Arial" w:hAnsi="Arial"/>
                <w:sz w:val="16"/>
                <w:szCs w:val="16"/>
                <w:color w:val="0000FF"/>
              </w:rPr>
              <w:t>1800 AVENUE OF THE STARS</w:t>
            </w: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6"/>
                <w:szCs w:val="16"/>
                <w:color w:val="0000FF"/>
              </w:rPr>
              <w:t>3RD FLOOR</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6"/>
                <w:szCs w:val="16"/>
                <w:color w:val="0000FF"/>
              </w:rPr>
              <w:t>LOS ANGELES</w:t>
            </w:r>
          </w:p>
        </w:tc>
        <w:tc>
          <w:tcPr>
            <w:tcW w:w="1060" w:type="dxa"/>
            <w:vAlign w:val="bottom"/>
            <w:gridSpan w:val="3"/>
          </w:tcPr>
          <w:p>
            <w:pPr>
              <w:spacing w:after="0"/>
              <w:rPr>
                <w:sz w:val="20"/>
                <w:szCs w:val="20"/>
                <w:color w:val="auto"/>
              </w:rPr>
            </w:pPr>
            <w:r>
              <w:rPr>
                <w:rFonts w:ascii="Arial" w:cs="Arial" w:eastAsia="Arial" w:hAnsi="Arial"/>
                <w:sz w:val="16"/>
                <w:szCs w:val="16"/>
                <w:color w:val="0000FF"/>
              </w:rPr>
              <w:t>CA</w:t>
            </w:r>
          </w:p>
        </w:tc>
        <w:tc>
          <w:tcPr>
            <w:tcW w:w="1120" w:type="dxa"/>
            <w:vAlign w:val="bottom"/>
          </w:tcPr>
          <w:p>
            <w:pPr>
              <w:ind w:left="400"/>
              <w:spacing w:after="0"/>
              <w:rPr>
                <w:sz w:val="20"/>
                <w:szCs w:val="20"/>
                <w:color w:val="auto"/>
              </w:rPr>
            </w:pPr>
            <w:r>
              <w:rPr>
                <w:rFonts w:ascii="Arial" w:cs="Arial" w:eastAsia="Arial" w:hAnsi="Arial"/>
                <w:sz w:val="16"/>
                <w:szCs w:val="16"/>
                <w:color w:val="0000FF"/>
              </w:rPr>
              <w:t>90067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4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20" w:type="dxa"/>
            <w:vAlign w:val="bottom"/>
            <w:tcBorders>
              <w:bottom w:val="single" w:sz="8" w:color="2C2C2C"/>
            </w:tcBorders>
            <w:gridSpan w:val="4"/>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gridSpan w:val="10"/>
          </w:tcPr>
          <w:p>
            <w:pPr>
              <w:spacing w:after="0" w:line="210" w:lineRule="exact"/>
              <w:rPr>
                <w:rFonts w:ascii="Arial" w:cs="Arial" w:eastAsia="Arial" w:hAnsi="Arial"/>
                <w:sz w:val="20"/>
                <w:szCs w:val="20"/>
                <w:color w:val="0000EE"/>
              </w:rPr>
            </w:pPr>
            <w:hyperlink r:id="rId15">
              <w:r>
                <w:rPr>
                  <w:rFonts w:ascii="Arial" w:cs="Arial" w:eastAsia="Arial" w:hAnsi="Arial"/>
                  <w:sz w:val="20"/>
                  <w:szCs w:val="20"/>
                  <w:color w:val="0000EE"/>
                </w:rPr>
                <w:t>KAYNE ANDERSON CAPITAL ADVISORS LP</w:t>
              </w:r>
            </w:hyperlink>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ind w:left="4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gridSpan w:val="5"/>
          </w:tcPr>
          <w:p>
            <w:pPr>
              <w:spacing w:after="0"/>
              <w:rPr>
                <w:sz w:val="20"/>
                <w:szCs w:val="20"/>
                <w:color w:val="auto"/>
              </w:rPr>
            </w:pPr>
            <w:r>
              <w:rPr>
                <w:rFonts w:ascii="Arial" w:cs="Arial" w:eastAsia="Arial" w:hAnsi="Arial"/>
                <w:sz w:val="16"/>
                <w:szCs w:val="16"/>
                <w:color w:val="0000FF"/>
              </w:rPr>
              <w:t>1800 AVENUE OF THE STARS</w:t>
            </w: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6"/>
                <w:szCs w:val="16"/>
                <w:color w:val="0000FF"/>
              </w:rPr>
              <w:t>3RD FLOOR</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6"/>
                <w:szCs w:val="16"/>
                <w:color w:val="0000FF"/>
              </w:rPr>
              <w:t>LOS ANGELES</w:t>
            </w:r>
          </w:p>
        </w:tc>
        <w:tc>
          <w:tcPr>
            <w:tcW w:w="1060" w:type="dxa"/>
            <w:vAlign w:val="bottom"/>
            <w:gridSpan w:val="3"/>
          </w:tcPr>
          <w:p>
            <w:pPr>
              <w:spacing w:after="0"/>
              <w:rPr>
                <w:sz w:val="20"/>
                <w:szCs w:val="20"/>
                <w:color w:val="auto"/>
              </w:rPr>
            </w:pPr>
            <w:r>
              <w:rPr>
                <w:rFonts w:ascii="Arial" w:cs="Arial" w:eastAsia="Arial" w:hAnsi="Arial"/>
                <w:sz w:val="16"/>
                <w:szCs w:val="16"/>
                <w:color w:val="0000FF"/>
              </w:rPr>
              <w:t>CA</w:t>
            </w:r>
          </w:p>
        </w:tc>
        <w:tc>
          <w:tcPr>
            <w:tcW w:w="1120" w:type="dxa"/>
            <w:vAlign w:val="bottom"/>
          </w:tcPr>
          <w:p>
            <w:pPr>
              <w:ind w:left="400"/>
              <w:spacing w:after="0"/>
              <w:rPr>
                <w:sz w:val="20"/>
                <w:szCs w:val="20"/>
                <w:color w:val="auto"/>
              </w:rPr>
            </w:pPr>
            <w:r>
              <w:rPr>
                <w:rFonts w:ascii="Arial" w:cs="Arial" w:eastAsia="Arial" w:hAnsi="Arial"/>
                <w:sz w:val="16"/>
                <w:szCs w:val="16"/>
                <w:color w:val="0000FF"/>
              </w:rPr>
              <w:t>90067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4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-6588760</wp:posOffset>
            </wp:positionV>
            <wp:extent cx="23495" cy="1591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3495" cy="159194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520"/>
          </w:cols>
          <w:pgMar w:left="240" w:top="219" w:right="139" w:bottom="0" w:gutter="0" w:footer="0" w:header="0"/>
          <w:type w:val="continuous"/>
        </w:sectPr>
      </w:pPr>
    </w:p>
    <w:bookmarkStart w:id="1" w:name="page2"/>
    <w:bookmarkEnd w:id="1"/>
    <w:p>
      <w:pPr>
        <w:ind w:left="2" w:right="20" w:hanging="2"/>
        <w:spacing w:after="0" w:line="230"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KAFU Holdings, L.P. and KAFU Holdings II, L.P. (collectively "KAFU") hold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limited partnership agreement of AAP was amended and restated to provide that each limited partner of AAP, including KAFU, will have the right at any time (without expiration) to immediately exchange (the "Exchange Right") its Class A units in AAP together with a like number of Class B shares and the GP units, for a like number of Class A shares of the Issuer.</w:t>
      </w:r>
    </w:p>
    <w:p>
      <w:pPr>
        <w:spacing w:after="0" w:line="30" w:lineRule="exact"/>
        <w:rPr>
          <w:rFonts w:ascii="Arial" w:cs="Arial" w:eastAsia="Arial" w:hAnsi="Arial"/>
          <w:sz w:val="13"/>
          <w:szCs w:val="13"/>
          <w:color w:val="008000"/>
        </w:rPr>
      </w:pPr>
    </w:p>
    <w:p>
      <w:pPr>
        <w:ind w:left="2" w:hanging="2"/>
        <w:spacing w:after="0" w:line="279"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Kayne Anderson Capital Advisors, L.P. ("KACALP") is the manager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spacing w:after="0" w:line="6" w:lineRule="exact"/>
        <w:rPr>
          <w:rFonts w:ascii="Arial" w:cs="Arial" w:eastAsia="Arial" w:hAnsi="Arial"/>
          <w:sz w:val="12"/>
          <w:szCs w:val="12"/>
          <w:color w:val="008000"/>
        </w:rPr>
      </w:pPr>
    </w:p>
    <w:p>
      <w:pPr>
        <w:ind w:left="122" w:hanging="122"/>
        <w:spacing w:after="0"/>
        <w:tabs>
          <w:tab w:leader="none" w:pos="12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is an in-kind distribution to a KAFU Holdings, L.P. limited partner for the sole purpose of affecting a charitable gift.</w:t>
      </w:r>
    </w:p>
    <w:p>
      <w:pPr>
        <w:spacing w:after="0" w:line="53" w:lineRule="exact"/>
        <w:rPr>
          <w:sz w:val="20"/>
          <w:szCs w:val="20"/>
          <w:color w:val="auto"/>
        </w:rPr>
      </w:pPr>
    </w:p>
    <w:tbl>
      <w:tblPr>
        <w:tblLayout w:type="fixed"/>
        <w:tblInd w:w="6822" w:type="dxa"/>
        <w:tblCellMar>
          <w:top w:w="0" w:type="dxa"/>
          <w:left w:w="0" w:type="dxa"/>
          <w:bottom w:w="0" w:type="dxa"/>
          <w:right w:w="0" w:type="dxa"/>
        </w:tblCellMar>
      </w:tblPr>
      <w:tr>
        <w:trPr>
          <w:trHeight w:val="184"/>
        </w:trPr>
        <w:tc>
          <w:tcPr>
            <w:tcW w:w="2280" w:type="dxa"/>
            <w:vAlign w:val="bottom"/>
            <w:gridSpan w:val="2"/>
          </w:tcPr>
          <w:p>
            <w:pPr>
              <w:spacing w:after="0"/>
              <w:rPr>
                <w:sz w:val="20"/>
                <w:szCs w:val="20"/>
                <w:color w:val="auto"/>
              </w:rPr>
            </w:pPr>
            <w:r>
              <w:rPr>
                <w:rFonts w:ascii="Arial" w:cs="Arial" w:eastAsia="Arial" w:hAnsi="Arial"/>
                <w:sz w:val="16"/>
                <w:szCs w:val="16"/>
                <w:color w:val="0000FF"/>
              </w:rPr>
              <w:t>David Shladovsky</w:t>
            </w:r>
          </w:p>
        </w:tc>
        <w:tc>
          <w:tcPr>
            <w:tcW w:w="740" w:type="dxa"/>
            <w:vAlign w:val="bottom"/>
          </w:tcPr>
          <w:p>
            <w:pPr>
              <w:spacing w:after="0"/>
              <w:rPr>
                <w:sz w:val="20"/>
                <w:szCs w:val="20"/>
                <w:color w:val="auto"/>
              </w:rPr>
            </w:pPr>
            <w:r>
              <w:rPr>
                <w:rFonts w:ascii="Arial" w:cs="Arial" w:eastAsia="Arial" w:hAnsi="Arial"/>
                <w:sz w:val="16"/>
                <w:szCs w:val="16"/>
                <w:color w:val="0000FF"/>
                <w:w w:val="89"/>
              </w:rPr>
              <w:t>11/26/2013</w:t>
            </w:r>
          </w:p>
        </w:tc>
      </w:tr>
      <w:tr>
        <w:trPr>
          <w:trHeight w:val="20"/>
        </w:trPr>
        <w:tc>
          <w:tcPr>
            <w:tcW w:w="12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9"/>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4040" w:hanging="2"/>
        <w:spacing w:after="0" w:line="32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2"/>
      </w:cols>
      <w:pgMar w:left="278" w:top="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59001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87" TargetMode="External"/><Relationship Id="rId15"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2019-12-06T13:20:22Z</dcterms:created>
  <dcterms:modified xsi:type="dcterms:W3CDTF">2019-12-06T13:20:22Z</dcterms:modified>
</cp:coreProperties>
</file>