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240" w:after="60"/>
        <w:rPr>
          <w:bdr w:val="single" w:sz="16" w:space="1" w:color="000000"/>
        </w:rPr>
      </w:pPr>
      <w:bookmarkStart w:id="0" w:name="tv527988_8k.htm"/>
      <w:bookmarkStart w:id="1" w:name="kstv527988_8k"/>
      <w:bookmarkEnd w:id="0"/>
      <w:bookmarkEnd w:id="1"/>
      <w:r>
        <w:rPr>
          <w:bdr w:val="single" w:sz="16" w:space="1" w:color="000000"/>
        </w:rPr>
        <w:t> </w:t>
      </w:r>
    </w:p>
    <w:p>
      <w:pPr>
        <w:pStyle w:val="TextBody"/>
        <w:rPr/>
      </w:pPr>
      <w:r>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w:t>
      </w:r>
      <w:bookmarkStart w:id="2" w:name="xdx_903_edei--DocumentType_c20190814__20"/>
      <w:bookmarkEnd w:id="2"/>
      <w:r>
        <w:rPr>
          <w:rFonts w:ascii="Times New Roman;Times;Serif" w:hAnsi="Times New Roman;Times;Serif"/>
          <w:b/>
          <w:i w:val="false"/>
          <w:caps w:val="false"/>
          <w:smallCaps w:val="false"/>
          <w:sz w:val="36"/>
        </w:rPr>
        <w:t>8-K</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3_edei--DocumentPeriodEndDate_c201"/>
      <w:bookmarkEnd w:id="3"/>
      <w:r>
        <w:rPr>
          <w:rFonts w:ascii="Times New Roman;Times;Serif" w:hAnsi="Times New Roman;Times;Serif"/>
          <w:b/>
          <w:i w:val="false"/>
          <w:caps w:val="false"/>
          <w:smallCaps w:val="false"/>
          <w:sz w:val="20"/>
        </w:rPr>
        <w:t>August 15, 2019</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Plains All American Pipeline, L.P.</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spacing w:before="0" w:after="0"/>
        <w:ind w:left="0" w:right="0" w:hanging="0"/>
        <w:rPr>
          <w:caps w:val="false"/>
          <w:smallCaps w:val="false"/>
        </w:rPr>
      </w:pPr>
      <w:r>
        <w:rPr>
          <w:caps w:val="false"/>
          <w:smallCaps w:val="false"/>
        </w:rPr>
        <w:t> </w:t>
      </w:r>
    </w:p>
    <w:p>
      <w:pPr>
        <w:pStyle w:val="TextBody"/>
        <w:spacing w:before="0" w:after="0"/>
        <w:rPr/>
      </w:pPr>
      <w:r>
        <w:rPr/>
        <w:t> </w:t>
      </w:r>
    </w:p>
    <w:tbl>
      <w:tblPr>
        <w:tblW w:w="8715" w:type="dxa"/>
        <w:jc w:val="left"/>
        <w:tblInd w:w="0" w:type="dxa"/>
        <w:tblCellMar>
          <w:top w:w="0" w:type="dxa"/>
          <w:left w:w="0" w:type="dxa"/>
          <w:bottom w:w="0" w:type="dxa"/>
          <w:right w:w="0" w:type="dxa"/>
        </w:tblCellMar>
      </w:tblPr>
      <w:tblGrid>
        <w:gridCol w:w="2720"/>
        <w:gridCol w:w="60"/>
        <w:gridCol w:w="2615"/>
        <w:gridCol w:w="60"/>
        <w:gridCol w:w="3260"/>
      </w:tblGrid>
      <w:tr>
        <w:trPr/>
        <w:tc>
          <w:tcPr>
            <w:tcW w:w="2720" w:type="dxa"/>
            <w:tcBorders/>
            <w:shd w:fill="auto" w:val="clear"/>
            <w:vAlign w:val="center"/>
          </w:tcPr>
          <w:p>
            <w:pPr>
              <w:pStyle w:val="TableContents"/>
              <w:spacing w:before="0" w:after="283"/>
              <w:jc w:val="center"/>
              <w:rPr/>
            </w:pPr>
            <w:bookmarkStart w:id="4" w:name="xdx_903_edei--EntityIncorporationStateCo"/>
            <w:bookmarkEnd w:id="4"/>
            <w:r>
              <w:rPr>
                <w:rFonts w:ascii="Times New Roman;Times;Serif" w:hAnsi="Times New Roman;Times;Serif"/>
                <w:b/>
                <w:i w:val="false"/>
                <w:caps/>
                <w:sz w:val="20"/>
              </w:rPr>
              <w:t>Delaware</w:t>
            </w:r>
            <w:r>
              <w:rPr/>
              <w:br/>
              <w:t>(State or other jurisdiction of</w:t>
              <w:br/>
              <w:t>incorporation)</w:t>
            </w:r>
          </w:p>
        </w:tc>
        <w:tc>
          <w:tcPr>
            <w:tcW w:w="60" w:type="dxa"/>
            <w:tcBorders/>
            <w:shd w:fill="auto" w:val="clear"/>
            <w:vAlign w:val="center"/>
          </w:tcPr>
          <w:p>
            <w:pPr>
              <w:pStyle w:val="TableContents"/>
              <w:spacing w:before="0" w:after="283"/>
              <w:rPr/>
            </w:pPr>
            <w:r>
              <w:rPr/>
              <w:t> </w:t>
            </w:r>
          </w:p>
        </w:tc>
        <w:tc>
          <w:tcPr>
            <w:tcW w:w="2615" w:type="dxa"/>
            <w:tcBorders/>
            <w:shd w:fill="auto" w:val="clear"/>
            <w:vAlign w:val="center"/>
          </w:tcPr>
          <w:p>
            <w:pPr>
              <w:pStyle w:val="TableContents"/>
              <w:spacing w:before="0" w:after="283"/>
              <w:jc w:val="center"/>
              <w:rPr/>
            </w:pPr>
            <w:bookmarkStart w:id="5" w:name="xdx_90A_edei--EntityFileNumber_c20190814"/>
            <w:bookmarkEnd w:id="5"/>
            <w:r>
              <w:rPr>
                <w:rFonts w:ascii="Times New Roman;Times;Serif" w:hAnsi="Times New Roman;Times;Serif"/>
                <w:b/>
                <w:i w:val="false"/>
                <w:caps w:val="false"/>
                <w:smallCaps w:val="false"/>
                <w:sz w:val="20"/>
              </w:rPr>
              <w:t>1-14569</w:t>
            </w:r>
            <w:r>
              <w:rPr/>
              <w:br/>
              <w:t>(Commission File Number)</w:t>
            </w:r>
          </w:p>
        </w:tc>
        <w:tc>
          <w:tcPr>
            <w:tcW w:w="60" w:type="dxa"/>
            <w:tcBorders/>
            <w:shd w:fill="auto" w:val="clear"/>
            <w:vAlign w:val="center"/>
          </w:tcPr>
          <w:p>
            <w:pPr>
              <w:pStyle w:val="TableContents"/>
              <w:spacing w:before="0" w:after="283"/>
              <w:rPr/>
            </w:pPr>
            <w:r>
              <w:rPr/>
              <w:t> </w:t>
            </w:r>
          </w:p>
        </w:tc>
        <w:tc>
          <w:tcPr>
            <w:tcW w:w="3260" w:type="dxa"/>
            <w:tcBorders/>
            <w:shd w:fill="auto" w:val="clear"/>
            <w:vAlign w:val="center"/>
          </w:tcPr>
          <w:p>
            <w:pPr>
              <w:pStyle w:val="TableContents"/>
              <w:spacing w:before="0" w:after="283"/>
              <w:jc w:val="center"/>
              <w:rPr/>
            </w:pPr>
            <w:bookmarkStart w:id="6" w:name="xdx_907_edei--EntityTaxIdentificationNum"/>
            <w:bookmarkEnd w:id="6"/>
            <w:r>
              <w:rPr>
                <w:rFonts w:ascii="Times New Roman;Times;Serif" w:hAnsi="Times New Roman;Times;Serif"/>
                <w:b/>
                <w:i w:val="false"/>
                <w:caps w:val="false"/>
                <w:smallCaps w:val="false"/>
                <w:sz w:val="20"/>
              </w:rPr>
              <w:t>76-0582150</w:t>
            </w:r>
            <w:r>
              <w:rPr/>
              <w:br/>
              <w:t>(IRS Employer Identification No.)</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7" w:name="xdx_901_edei--EntityAddressAddressLine1_"/>
      <w:bookmarkEnd w:id="7"/>
      <w:r>
        <w:rPr>
          <w:rFonts w:ascii="Times New Roman;Times;Serif" w:hAnsi="Times New Roman;Times;Serif"/>
          <w:b/>
          <w:i w:val="false"/>
          <w:caps w:val="false"/>
          <w:smallCaps w:val="false"/>
          <w:sz w:val="20"/>
        </w:rPr>
        <w:t xml:space="preserve">333 Clay Street, </w:t>
      </w:r>
      <w:bookmarkStart w:id="8" w:name="xdx_906_edei--EntityAddressAddressLine2_"/>
      <w:bookmarkEnd w:id="8"/>
      <w:r>
        <w:rPr>
          <w:rFonts w:ascii="Times New Roman;Times;Serif" w:hAnsi="Times New Roman;Times;Serif"/>
          <w:b/>
          <w:i w:val="false"/>
          <w:caps w:val="false"/>
          <w:smallCaps w:val="false"/>
          <w:sz w:val="20"/>
        </w:rPr>
        <w:t xml:space="preserve">Suite 1600, </w:t>
      </w:r>
      <w:bookmarkStart w:id="9" w:name="xdx_900_edei--EntityAddressCityOrTown_c2"/>
      <w:bookmarkEnd w:id="9"/>
      <w:r>
        <w:rPr>
          <w:rFonts w:ascii="Times New Roman;Times;Serif" w:hAnsi="Times New Roman;Times;Serif"/>
          <w:b/>
          <w:i w:val="false"/>
          <w:caps w:val="false"/>
          <w:smallCaps w:val="false"/>
          <w:sz w:val="20"/>
        </w:rPr>
        <w:t xml:space="preserve">Houston, </w:t>
      </w:r>
      <w:bookmarkStart w:id="10" w:name="xdx_90C_edei--EntityAddressStateOrProvin"/>
      <w:bookmarkEnd w:id="10"/>
      <w:r>
        <w:rPr>
          <w:rFonts w:ascii="Times New Roman;Times;Serif" w:hAnsi="Times New Roman;Times;Serif"/>
          <w:b/>
          <w:i w:val="false"/>
          <w:caps w:val="false"/>
          <w:smallCaps w:val="false"/>
          <w:sz w:val="20"/>
        </w:rPr>
        <w:t xml:space="preserve">Texas </w:t>
      </w:r>
      <w:bookmarkStart w:id="11" w:name="xdx_903_edei--EntityAddressPostalZipCode"/>
      <w:bookmarkEnd w:id="11"/>
      <w:r>
        <w:rPr>
          <w:rFonts w:ascii="Times New Roman;Times;Serif" w:hAnsi="Times New Roman;Times;Serif"/>
          <w:b/>
          <w:i w:val="false"/>
          <w:caps w:val="false"/>
          <w:smallCaps w:val="false"/>
          <w:sz w:val="20"/>
        </w:rPr>
        <w:t>77002</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2" w:name="xdx_902_edei--CityAreaCode_c20190814__20"/>
      <w:bookmarkEnd w:id="12"/>
      <w:r>
        <w:rPr>
          <w:rFonts w:ascii="Times New Roman;Times;Serif" w:hAnsi="Times New Roman;Times;Serif"/>
          <w:b/>
          <w:i w:val="false"/>
          <w:caps w:val="false"/>
          <w:smallCaps w:val="false"/>
          <w:sz w:val="20"/>
        </w:rPr>
        <w:t>713-</w:t>
      </w:r>
      <w:bookmarkStart w:id="13" w:name="xdx_90D_edei--LocalPhoneNumber_c20190814"/>
      <w:bookmarkEnd w:id="13"/>
      <w:r>
        <w:rPr>
          <w:rFonts w:ascii="Times New Roman;Times;Serif" w:hAnsi="Times New Roman;Times;Serif"/>
          <w:b/>
          <w:i w:val="false"/>
          <w:caps w:val="false"/>
          <w:smallCaps w:val="false"/>
          <w:sz w:val="20"/>
        </w:rPr>
        <w:t>646-4100</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bookmarkStart w:id="14" w:name="xdx_907_edei--WrittenCommunications_c201"/>
      <w:bookmarkEnd w:id="14"/>
      <w:r>
        <w:rPr/>
        <w:t xml:space="preserve">☐            </w:t>
      </w:r>
      <w:r>
        <w:rPr>
          <w:sz w:val="17"/>
        </w:rPr>
        <w:t>Written communications pursuant to Rule 425 under the Securities Act (17 CFR 230.425)</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bookmarkStart w:id="15" w:name="xdx_904_edei--SolicitingMaterial_c201908"/>
      <w:bookmarkEnd w:id="15"/>
      <w:r>
        <w:rPr/>
        <w:t xml:space="preserve">☐            </w:t>
      </w:r>
      <w:r>
        <w:rPr>
          <w:sz w:val="17"/>
        </w:rPr>
        <w:t>Soliciting material pursuant to Rule 14a-12 under the Exchange Act (17 CFR 240.14a-12)</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bookmarkStart w:id="16" w:name="xdx_906_edei--PreCommencementTenderOffer"/>
      <w:bookmarkEnd w:id="16"/>
      <w:r>
        <w:rPr/>
        <w:t xml:space="preserve">☐            </w:t>
      </w:r>
      <w:r>
        <w:rPr>
          <w:sz w:val="17"/>
        </w:rPr>
        <w:t>Pre-commencement communications pursuant to Rule 14d-2(b) under the Exchange Act (17 CFR 240.14d-2(b))</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pPr>
      <w:bookmarkStart w:id="17" w:name="xdx_90F_edei--PreCommencementIssuerTende"/>
      <w:bookmarkEnd w:id="17"/>
      <w:r>
        <w:rPr/>
        <w:t xml:space="preserve">☐            </w:t>
      </w:r>
      <w:r>
        <w:rPr>
          <w:sz w:val="17"/>
        </w:rPr>
        <w:t>Pre-commencement communications pursuant to Rule 13e-4(c) under the Exchange Act (17 CFR 240.13e-4(c))</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spacing w:before="0" w:after="0"/>
        <w:ind w:left="0" w:right="0" w:hanging="0"/>
        <w:rPr>
          <w:caps w:val="false"/>
          <w:smallCaps w:val="false"/>
        </w:rPr>
      </w:pPr>
      <w:r>
        <w:rPr>
          <w:caps w:val="false"/>
          <w:smallCaps w:val="false"/>
        </w:rPr>
        <w:t> </w:t>
      </w:r>
    </w:p>
    <w:tbl>
      <w:tblPr>
        <w:tblW w:w="6945" w:type="dxa"/>
        <w:jc w:val="left"/>
        <w:tblInd w:w="0" w:type="dxa"/>
        <w:tblCellMar>
          <w:top w:w="0" w:type="dxa"/>
          <w:left w:w="0" w:type="dxa"/>
          <w:bottom w:w="0" w:type="dxa"/>
          <w:right w:w="0" w:type="dxa"/>
        </w:tblCellMar>
      </w:tblPr>
      <w:tblGrid>
        <w:gridCol w:w="1520"/>
        <w:gridCol w:w="60"/>
        <w:gridCol w:w="1610"/>
        <w:gridCol w:w="60"/>
        <w:gridCol w:w="3695"/>
      </w:tblGrid>
      <w:tr>
        <w:trPr/>
        <w:tc>
          <w:tcPr>
            <w:tcW w:w="152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auto" w:val="clear"/>
            <w:vAlign w:val="center"/>
          </w:tcPr>
          <w:p>
            <w:pPr>
              <w:pStyle w:val="TableContents"/>
              <w:spacing w:before="0" w:after="283"/>
              <w:jc w:val="center"/>
              <w:rPr/>
            </w:pPr>
            <w:r>
              <w:rPr/>
              <w:t> </w:t>
            </w:r>
          </w:p>
        </w:tc>
        <w:tc>
          <w:tcPr>
            <w:tcW w:w="1610"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shd w:fill="auto" w:val="clear"/>
            <w:vAlign w:val="center"/>
          </w:tcPr>
          <w:p>
            <w:pPr>
              <w:pStyle w:val="TableContents"/>
              <w:spacing w:before="0" w:after="283"/>
              <w:jc w:val="center"/>
              <w:rPr/>
            </w:pPr>
            <w:r>
              <w:rPr/>
              <w:t> </w:t>
            </w:r>
          </w:p>
        </w:tc>
        <w:tc>
          <w:tcPr>
            <w:tcW w:w="3695"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152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8" w:name="xdx_907_edei--Security12bTitle_c20190814"/>
            <w:bookmarkEnd w:id="18"/>
            <w:r>
              <w:rPr>
                <w:rFonts w:ascii="Times New Roman;Times;Serif" w:hAnsi="Times New Roman;Times;Serif"/>
                <w:b w:val="false"/>
                <w:i w:val="false"/>
                <w:caps w:val="false"/>
                <w:smallCaps w:val="false"/>
                <w:sz w:val="20"/>
              </w:rPr>
              <w:t>Common Units</w:t>
            </w:r>
          </w:p>
        </w:tc>
        <w:tc>
          <w:tcPr>
            <w:tcW w:w="60" w:type="dxa"/>
            <w:tcBorders/>
            <w:shd w:fill="auto" w:val="clear"/>
            <w:vAlign w:val="center"/>
          </w:tcPr>
          <w:p>
            <w:pPr>
              <w:pStyle w:val="TableContents"/>
              <w:spacing w:before="0" w:after="283"/>
              <w:rPr/>
            </w:pPr>
            <w:r>
              <w:rPr/>
              <w:t> </w:t>
            </w:r>
          </w:p>
        </w:tc>
        <w:tc>
          <w:tcPr>
            <w:tcW w:w="1610"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19" w:name="xdx_906_edei--TradingSymbol_c20190814__2"/>
            <w:bookmarkEnd w:id="19"/>
            <w:r>
              <w:rPr>
                <w:rFonts w:ascii="Times New Roman;Times;Serif" w:hAnsi="Times New Roman;Times;Serif"/>
                <w:b w:val="false"/>
                <w:i w:val="false"/>
                <w:caps w:val="false"/>
                <w:smallCaps w:val="false"/>
                <w:sz w:val="20"/>
              </w:rPr>
              <w:t>PAA</w:t>
            </w:r>
          </w:p>
        </w:tc>
        <w:tc>
          <w:tcPr>
            <w:tcW w:w="60" w:type="dxa"/>
            <w:tcBorders/>
            <w:shd w:fill="auto" w:val="clear"/>
            <w:vAlign w:val="center"/>
          </w:tcPr>
          <w:p>
            <w:pPr>
              <w:pStyle w:val="TableContents"/>
              <w:spacing w:before="0" w:after="283"/>
              <w:rPr/>
            </w:pPr>
            <w:r>
              <w:rPr/>
              <w:t> </w:t>
            </w:r>
          </w:p>
        </w:tc>
        <w:tc>
          <w:tcPr>
            <w:tcW w:w="3695"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bookmarkStart w:id="20" w:name="xdx_903_edei--SecurityExchangeName_c2019"/>
            <w:bookmarkEnd w:id="20"/>
            <w:r>
              <w:rPr>
                <w:rFonts w:ascii="Times New Roman;Times;Serif" w:hAnsi="Times New Roman;Times;Serif"/>
                <w:b w:val="false"/>
                <w:i w:val="false"/>
                <w:caps w:val="false"/>
                <w:smallCaps w:val="false"/>
                <w:sz w:val="20"/>
              </w:rPr>
              <w:t>New York Stock Exchange</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sz w:val="17"/>
        </w:rPr>
      </w:pPr>
      <w:r>
        <w:rPr>
          <w:rFonts w:ascii="Times New Roman;Times;Serif" w:hAnsi="Times New Roman;Times;Serif"/>
          <w:b w:val="false"/>
          <w:i w:val="false"/>
          <w:caps w:val="false"/>
          <w:smallCaps w:val="false"/>
          <w:sz w:val="20"/>
        </w:rPr>
        <w:t xml:space="preserve">Emerging growth company  </w:t>
      </w:r>
      <w:bookmarkStart w:id="21" w:name="xdx_908_edei--EntityEmergingGrowthCompan"/>
      <w:bookmarkEnd w:id="21"/>
      <w:r>
        <w:rPr>
          <w:sz w:val="17"/>
        </w:rPr>
        <w:t>☐</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sz w:val="17"/>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9_edei--EntityExTransitionPeriod_c"/>
      <w:bookmarkEnd w:id="22"/>
      <w:r>
        <w:rPr>
          <w:sz w:val="17"/>
        </w:rPr>
        <w:t>☐</w:t>
      </w:r>
    </w:p>
    <w:p>
      <w:pPr>
        <w:pStyle w:val="TextBody"/>
        <w:spacing w:before="0" w:after="0"/>
        <w:ind w:left="0" w:right="0" w:hanging="0"/>
        <w:rPr>
          <w:caps w:val="false"/>
          <w:smallCaps w:val="false"/>
        </w:rPr>
      </w:pPr>
      <w:r>
        <w:rPr>
          <w:caps w:val="false"/>
          <w:smallCaps w:val="false"/>
        </w:rPr>
        <w:t> </w:t>
      </w:r>
    </w:p>
    <w:p>
      <w:pPr>
        <w:pStyle w:val="TextBody"/>
        <w:spacing w:before="60" w:after="240"/>
        <w:rPr>
          <w:bdr w:val="single" w:sz="8" w:space="1" w:color="000000"/>
        </w:rPr>
      </w:pPr>
      <w:r>
        <w:rPr>
          <w:bdr w:val="single" w:sz="8" w:space="1" w:color="000000"/>
        </w:rPr>
        <w:t> </w:t>
      </w:r>
    </w:p>
    <w:p>
      <w:pPr>
        <w:pStyle w:val="TextBody"/>
        <w:spacing w:before="0" w:after="0"/>
        <w:ind w:left="0" w:right="0" w:hanging="0"/>
        <w:rPr/>
      </w:pPr>
      <w:r>
        <w:rPr/>
        <w:t>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965"/>
        <w:gridCol w:w="9240"/>
      </w:tblGrid>
      <w:tr>
        <w:trPr/>
        <w:tc>
          <w:tcPr>
            <w:tcW w:w="965" w:type="dxa"/>
            <w:tcBorders/>
            <w:shd w:fill="auto"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w:t>
            </w:r>
          </w:p>
        </w:tc>
        <w:tc>
          <w:tcPr>
            <w:tcW w:w="9240" w:type="dxa"/>
            <w:tcBorders/>
            <w:shd w:fill="auto" w:val="clear"/>
            <w:vAlign w:val="center"/>
          </w:tcPr>
          <w:p>
            <w:pPr>
              <w:pStyle w:val="TableContents"/>
              <w:spacing w:before="0" w:after="283"/>
              <w:jc w:val="left"/>
              <w:rPr>
                <w:b/>
                <w:sz w:val="17"/>
              </w:rPr>
            </w:pPr>
            <w:r>
              <w:rPr>
                <w:b/>
                <w:sz w:val="17"/>
              </w:rPr>
              <w:t>Departure of Directors or Certain Officers; Election of Directors; Appointment of Certain Officers; Compensatory Arrangements of Certain Officers.</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Phantom Unit Grants to Named Executive Officers</w:t>
      </w:r>
    </w:p>
    <w:p>
      <w:pPr>
        <w:pStyle w:val="TextBody"/>
        <w:spacing w:before="0" w:after="0"/>
        <w:ind w:left="0" w:right="0" w:firstLine="460"/>
        <w:rPr>
          <w:caps w:val="false"/>
          <w:smallCaps w:val="false"/>
        </w:rPr>
      </w:pPr>
      <w:r>
        <w:rPr>
          <w:caps w:val="false"/>
          <w:smallCaps w:val="false"/>
        </w:rPr>
        <w:t> </w:t>
      </w:r>
    </w:p>
    <w:p>
      <w:pPr>
        <w:pStyle w:val="TextBody"/>
        <w:spacing w:before="0" w:after="0"/>
        <w:ind w:left="0" w:right="0" w:firstLine="46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15, 2019, the board of directors (the “Board”) of PAA GP Holdings LLC (“GP Holdings”), the general partner of Plains All American Pipeline, L.P. (“PAA”), approved grants of phantom units to certain of those individuals who were identified as Named Executive Officers in PAA’s 2019 proxy statement. These phantom unit grants were consistent with the annual LTIP targets disclosed in the 2019 proxy statement, with the exception of Mr. McGee’s annual target, which was increased from 250% of base salary to 300% of base salary. The annual LTIP target values and resulting LTIP grants approved by the Board are set forth below:</w:t>
      </w:r>
    </w:p>
    <w:p>
      <w:pPr>
        <w:pStyle w:val="TextBody"/>
        <w:spacing w:before="0" w:after="0"/>
        <w:ind w:left="0" w:right="0" w:firstLine="46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4768"/>
        <w:gridCol w:w="60"/>
        <w:gridCol w:w="301"/>
        <w:gridCol w:w="1923"/>
        <w:gridCol w:w="60"/>
        <w:gridCol w:w="60"/>
        <w:gridCol w:w="194"/>
        <w:gridCol w:w="1365"/>
        <w:gridCol w:w="60"/>
        <w:gridCol w:w="60"/>
        <w:gridCol w:w="89"/>
        <w:gridCol w:w="1187"/>
        <w:gridCol w:w="78"/>
      </w:tblGrid>
      <w:tr>
        <w:trPr/>
        <w:tc>
          <w:tcPr>
            <w:tcW w:w="4768" w:type="dxa"/>
            <w:tcBorders>
              <w:bottom w:val="single" w:sz="8" w:space="0" w:color="000000"/>
            </w:tcBorders>
            <w:shd w:fill="auto" w:val="clear"/>
            <w:vAlign w:val="center"/>
          </w:tcPr>
          <w:p>
            <w:pPr>
              <w:pStyle w:val="TableContents"/>
              <w:spacing w:before="0" w:after="283"/>
              <w:jc w:val="center"/>
              <w:rPr/>
            </w:pPr>
            <w:r>
              <w:rPr/>
              <w:t>Name and Title</w:t>
            </w:r>
          </w:p>
        </w:tc>
        <w:tc>
          <w:tcPr>
            <w:tcW w:w="60" w:type="dxa"/>
            <w:tcBorders/>
            <w:shd w:fill="auto" w:val="clear"/>
            <w:tcMar>
              <w:bottom w:w="0" w:type="dxa"/>
            </w:tcMar>
            <w:vAlign w:val="center"/>
          </w:tcPr>
          <w:p>
            <w:pPr>
              <w:pStyle w:val="TableContents"/>
              <w:spacing w:before="0" w:after="283"/>
              <w:rPr/>
            </w:pPr>
            <w:r>
              <w:rPr/>
              <w:t> </w:t>
            </w:r>
          </w:p>
        </w:tc>
        <w:tc>
          <w:tcPr>
            <w:tcW w:w="2224" w:type="dxa"/>
            <w:gridSpan w:val="2"/>
            <w:tcBorders>
              <w:bottom w:val="single" w:sz="8" w:space="0" w:color="000000"/>
            </w:tcBorders>
            <w:shd w:fill="auto" w:val="clear"/>
            <w:vAlign w:val="center"/>
          </w:tcPr>
          <w:p>
            <w:pPr>
              <w:pStyle w:val="TableContents"/>
              <w:spacing w:before="0" w:after="283"/>
              <w:jc w:val="center"/>
              <w:rPr/>
            </w:pPr>
            <w:r>
              <w:rPr/>
              <w:t xml:space="preserve">Annual LTIP Target Value </w:t>
              <w:br/>
              <w:t>(as a percentage of base salary)</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559" w:type="dxa"/>
            <w:gridSpan w:val="2"/>
            <w:tcBorders>
              <w:bottom w:val="single" w:sz="8" w:space="0" w:color="000000"/>
            </w:tcBorders>
            <w:shd w:fill="auto" w:val="clear"/>
            <w:vAlign w:val="center"/>
          </w:tcPr>
          <w:p>
            <w:pPr>
              <w:pStyle w:val="TableContents"/>
              <w:spacing w:before="0" w:after="283"/>
              <w:jc w:val="center"/>
              <w:rPr/>
            </w:pPr>
            <w:r>
              <w:rPr/>
              <w:t>2019 Annual LTIP</w:t>
              <w:br/>
              <w:t>Award Value</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1276" w:type="dxa"/>
            <w:gridSpan w:val="2"/>
            <w:tcBorders>
              <w:bottom w:val="single" w:sz="8" w:space="0" w:color="000000"/>
            </w:tcBorders>
            <w:shd w:fill="auto" w:val="clear"/>
            <w:vAlign w:val="center"/>
          </w:tcPr>
          <w:p>
            <w:pPr>
              <w:pStyle w:val="TableContents"/>
              <w:spacing w:before="0" w:after="283"/>
              <w:jc w:val="center"/>
              <w:rPr/>
            </w:pPr>
            <w:r>
              <w:rPr/>
              <w:t>No. of Phantom</w:t>
              <w:br/>
              <w:t>Units Granted</w:t>
            </w:r>
          </w:p>
        </w:tc>
        <w:tc>
          <w:tcPr>
            <w:tcW w:w="78" w:type="dxa"/>
            <w:tcBorders/>
            <w:shd w:fill="auto" w:val="clear"/>
            <w:tcMar>
              <w:bottom w:w="0" w:type="dxa"/>
            </w:tcMar>
            <w:vAlign w:val="center"/>
          </w:tcPr>
          <w:p>
            <w:pPr>
              <w:pStyle w:val="TableContents"/>
              <w:spacing w:before="0" w:after="283"/>
              <w:rPr/>
            </w:pPr>
            <w:r>
              <w:rPr/>
              <w:t> </w:t>
            </w:r>
          </w:p>
        </w:tc>
      </w:tr>
      <w:tr>
        <w:trPr/>
        <w:tc>
          <w:tcPr>
            <w:tcW w:w="4768" w:type="dxa"/>
            <w:tcBorders/>
            <w:shd w:fill="CCEEFF" w:val="clear"/>
            <w:tcMar>
              <w:bottom w:w="0" w:type="dxa"/>
            </w:tcMar>
            <w:vAlign w:val="center"/>
          </w:tcPr>
          <w:p>
            <w:pPr>
              <w:pStyle w:val="TableContents"/>
              <w:spacing w:before="0" w:after="283"/>
              <w:jc w:val="left"/>
              <w:rPr/>
            </w:pPr>
            <w:r>
              <w:rPr/>
              <w:t>Willie Chiang, Chief Executive Officer</w:t>
            </w:r>
          </w:p>
        </w:tc>
        <w:tc>
          <w:tcPr>
            <w:tcW w:w="60" w:type="dxa"/>
            <w:tcBorders/>
            <w:shd w:fill="CCEEFF" w:val="clear"/>
            <w:tcMar>
              <w:bottom w:w="0" w:type="dxa"/>
            </w:tcMar>
            <w:vAlign w:val="center"/>
          </w:tcPr>
          <w:p>
            <w:pPr>
              <w:pStyle w:val="TableContents"/>
              <w:spacing w:before="0" w:after="283"/>
              <w:rPr/>
            </w:pPr>
            <w:r>
              <w:rPr/>
              <w:t> </w:t>
            </w:r>
          </w:p>
        </w:tc>
        <w:tc>
          <w:tcPr>
            <w:tcW w:w="301" w:type="dxa"/>
            <w:tcBorders/>
            <w:shd w:fill="CCEEFF" w:val="clear"/>
            <w:tcMar>
              <w:bottom w:w="0" w:type="dxa"/>
            </w:tcMar>
            <w:vAlign w:val="center"/>
          </w:tcPr>
          <w:p>
            <w:pPr>
              <w:pStyle w:val="TableContents"/>
              <w:spacing w:before="0" w:after="283"/>
              <w:jc w:val="left"/>
              <w:rPr/>
            </w:pPr>
            <w:r>
              <w:rPr/>
              <w:t> </w:t>
            </w:r>
          </w:p>
        </w:tc>
        <w:tc>
          <w:tcPr>
            <w:tcW w:w="1923" w:type="dxa"/>
            <w:tcBorders/>
            <w:shd w:fill="CCEEFF" w:val="clear"/>
            <w:tcMar>
              <w:bottom w:w="0" w:type="dxa"/>
            </w:tcMar>
            <w:vAlign w:val="center"/>
          </w:tcPr>
          <w:p>
            <w:pPr>
              <w:pStyle w:val="TableContents"/>
              <w:spacing w:before="0" w:after="283"/>
              <w:jc w:val="center"/>
              <w:rPr/>
            </w:pPr>
            <w:r>
              <w:rPr/>
              <w:t>500%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4" w:type="dxa"/>
            <w:tcBorders/>
            <w:shd w:fill="CCEEFF" w:val="clear"/>
            <w:tcMar>
              <w:bottom w:w="0" w:type="dxa"/>
            </w:tcMar>
            <w:vAlign w:val="center"/>
          </w:tcPr>
          <w:p>
            <w:pPr>
              <w:pStyle w:val="TableContents"/>
              <w:spacing w:before="0" w:after="283"/>
              <w:jc w:val="left"/>
              <w:rPr/>
            </w:pPr>
            <w:r>
              <w:rPr/>
              <w:t>$</w:t>
            </w:r>
          </w:p>
        </w:tc>
        <w:tc>
          <w:tcPr>
            <w:tcW w:w="1365" w:type="dxa"/>
            <w:tcBorders/>
            <w:shd w:fill="CCEEFF" w:val="clear"/>
            <w:tcMar>
              <w:bottom w:w="0" w:type="dxa"/>
            </w:tcMar>
            <w:vAlign w:val="center"/>
          </w:tcPr>
          <w:p>
            <w:pPr>
              <w:pStyle w:val="TableContents"/>
              <w:spacing w:before="0" w:after="283"/>
              <w:jc w:val="right"/>
              <w:rPr/>
            </w:pPr>
            <w:r>
              <w:rPr/>
              <w:t>3,000,000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89" w:type="dxa"/>
            <w:tcBorders/>
            <w:shd w:fill="CCEEFF" w:val="clear"/>
            <w:tcMar>
              <w:bottom w:w="0" w:type="dxa"/>
            </w:tcMar>
            <w:vAlign w:val="center"/>
          </w:tcPr>
          <w:p>
            <w:pPr>
              <w:pStyle w:val="TableContents"/>
              <w:spacing w:before="0" w:after="283"/>
              <w:jc w:val="left"/>
              <w:rPr/>
            </w:pPr>
            <w:r>
              <w:rPr/>
              <w:t> </w:t>
            </w:r>
          </w:p>
        </w:tc>
        <w:tc>
          <w:tcPr>
            <w:tcW w:w="1187" w:type="dxa"/>
            <w:tcBorders/>
            <w:shd w:fill="CCEEFF" w:val="clear"/>
            <w:tcMar>
              <w:bottom w:w="0" w:type="dxa"/>
            </w:tcMar>
            <w:vAlign w:val="center"/>
          </w:tcPr>
          <w:p>
            <w:pPr>
              <w:pStyle w:val="TableContents"/>
              <w:spacing w:before="0" w:after="283"/>
              <w:jc w:val="right"/>
              <w:rPr/>
            </w:pPr>
            <w:r>
              <w:rPr/>
              <w:t>125,740</w:t>
            </w:r>
          </w:p>
        </w:tc>
        <w:tc>
          <w:tcPr>
            <w:tcW w:w="78" w:type="dxa"/>
            <w:tcBorders/>
            <w:shd w:fill="CCEEFF" w:val="clear"/>
            <w:tcMar>
              <w:bottom w:w="0" w:type="dxa"/>
            </w:tcMar>
            <w:vAlign w:val="center"/>
          </w:tcPr>
          <w:p>
            <w:pPr>
              <w:pStyle w:val="TableContents"/>
              <w:spacing w:before="0" w:after="283"/>
              <w:jc w:val="left"/>
              <w:rPr/>
            </w:pPr>
            <w:r>
              <w:rPr/>
              <w:t> </w:t>
            </w:r>
          </w:p>
        </w:tc>
      </w:tr>
      <w:tr>
        <w:trPr/>
        <w:tc>
          <w:tcPr>
            <w:tcW w:w="4768" w:type="dxa"/>
            <w:tcBorders/>
            <w:shd w:fill="FFFFFF" w:val="clear"/>
            <w:tcMar>
              <w:bottom w:w="0" w:type="dxa"/>
            </w:tcMar>
            <w:vAlign w:val="center"/>
          </w:tcPr>
          <w:p>
            <w:pPr>
              <w:pStyle w:val="TableContents"/>
              <w:spacing w:before="0" w:after="283"/>
              <w:jc w:val="left"/>
              <w:rPr/>
            </w:pPr>
            <w:r>
              <w:rPr/>
              <w:t>Al Swanson, Executive Vice President and Chief Financial Officer</w:t>
            </w:r>
          </w:p>
        </w:tc>
        <w:tc>
          <w:tcPr>
            <w:tcW w:w="60" w:type="dxa"/>
            <w:tcBorders/>
            <w:shd w:fill="FFFFFF" w:val="clear"/>
            <w:tcMar>
              <w:bottom w:w="0" w:type="dxa"/>
            </w:tcMar>
            <w:vAlign w:val="center"/>
          </w:tcPr>
          <w:p>
            <w:pPr>
              <w:pStyle w:val="TableContents"/>
              <w:spacing w:before="0" w:after="283"/>
              <w:rPr/>
            </w:pPr>
            <w:r>
              <w:rPr/>
              <w:t> </w:t>
            </w:r>
          </w:p>
        </w:tc>
        <w:tc>
          <w:tcPr>
            <w:tcW w:w="301" w:type="dxa"/>
            <w:tcBorders/>
            <w:shd w:fill="FFFFFF" w:val="clear"/>
            <w:tcMar>
              <w:bottom w:w="0" w:type="dxa"/>
            </w:tcMar>
            <w:vAlign w:val="center"/>
          </w:tcPr>
          <w:p>
            <w:pPr>
              <w:pStyle w:val="TableContents"/>
              <w:spacing w:before="0" w:after="283"/>
              <w:jc w:val="left"/>
              <w:rPr/>
            </w:pPr>
            <w:r>
              <w:rPr/>
              <w:t> </w:t>
            </w:r>
          </w:p>
        </w:tc>
        <w:tc>
          <w:tcPr>
            <w:tcW w:w="1923" w:type="dxa"/>
            <w:tcBorders/>
            <w:shd w:fill="FFFFFF" w:val="clear"/>
            <w:tcMar>
              <w:bottom w:w="0" w:type="dxa"/>
            </w:tcMar>
            <w:vAlign w:val="center"/>
          </w:tcPr>
          <w:p>
            <w:pPr>
              <w:pStyle w:val="TableContents"/>
              <w:spacing w:before="0" w:after="283"/>
              <w:jc w:val="center"/>
              <w:rPr/>
            </w:pPr>
            <w:r>
              <w:rPr/>
              <w:t>300%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194" w:type="dxa"/>
            <w:tcBorders/>
            <w:shd w:fill="FFFFFF" w:val="clear"/>
            <w:tcMar>
              <w:bottom w:w="0" w:type="dxa"/>
            </w:tcMar>
            <w:vAlign w:val="center"/>
          </w:tcPr>
          <w:p>
            <w:pPr>
              <w:pStyle w:val="TableContents"/>
              <w:spacing w:before="0" w:after="283"/>
              <w:jc w:val="left"/>
              <w:rPr/>
            </w:pPr>
            <w:r>
              <w:rPr/>
              <w:t>$</w:t>
            </w:r>
          </w:p>
        </w:tc>
        <w:tc>
          <w:tcPr>
            <w:tcW w:w="1365" w:type="dxa"/>
            <w:tcBorders/>
            <w:shd w:fill="FFFFFF" w:val="clear"/>
            <w:tcMar>
              <w:bottom w:w="0" w:type="dxa"/>
            </w:tcMar>
            <w:vAlign w:val="center"/>
          </w:tcPr>
          <w:p>
            <w:pPr>
              <w:pStyle w:val="TableContents"/>
              <w:spacing w:before="0" w:after="283"/>
              <w:jc w:val="right"/>
              <w:rPr/>
            </w:pPr>
            <w:r>
              <w:rPr/>
              <w:t>1,200,000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89" w:type="dxa"/>
            <w:tcBorders/>
            <w:shd w:fill="FFFFFF" w:val="clear"/>
            <w:tcMar>
              <w:bottom w:w="0" w:type="dxa"/>
            </w:tcMar>
            <w:vAlign w:val="center"/>
          </w:tcPr>
          <w:p>
            <w:pPr>
              <w:pStyle w:val="TableContents"/>
              <w:spacing w:before="0" w:after="283"/>
              <w:jc w:val="left"/>
              <w:rPr/>
            </w:pPr>
            <w:r>
              <w:rPr/>
              <w:t> </w:t>
            </w:r>
          </w:p>
        </w:tc>
        <w:tc>
          <w:tcPr>
            <w:tcW w:w="1187" w:type="dxa"/>
            <w:tcBorders/>
            <w:shd w:fill="FFFFFF" w:val="clear"/>
            <w:tcMar>
              <w:bottom w:w="0" w:type="dxa"/>
            </w:tcMar>
            <w:vAlign w:val="center"/>
          </w:tcPr>
          <w:p>
            <w:pPr>
              <w:pStyle w:val="TableContents"/>
              <w:spacing w:before="0" w:after="283"/>
              <w:jc w:val="right"/>
              <w:rPr/>
            </w:pPr>
            <w:r>
              <w:rPr/>
              <w:t>50,300</w:t>
            </w:r>
          </w:p>
        </w:tc>
        <w:tc>
          <w:tcPr>
            <w:tcW w:w="78" w:type="dxa"/>
            <w:tcBorders/>
            <w:shd w:fill="FFFFFF" w:val="clear"/>
            <w:tcMar>
              <w:bottom w:w="0" w:type="dxa"/>
            </w:tcMar>
            <w:vAlign w:val="center"/>
          </w:tcPr>
          <w:p>
            <w:pPr>
              <w:pStyle w:val="TableContents"/>
              <w:spacing w:before="0" w:after="283"/>
              <w:jc w:val="left"/>
              <w:rPr/>
            </w:pPr>
            <w:r>
              <w:rPr/>
              <w:t> </w:t>
            </w:r>
          </w:p>
        </w:tc>
      </w:tr>
      <w:tr>
        <w:trPr/>
        <w:tc>
          <w:tcPr>
            <w:tcW w:w="4768" w:type="dxa"/>
            <w:tcBorders/>
            <w:shd w:fill="CCEEFF" w:val="clear"/>
            <w:tcMar>
              <w:bottom w:w="0" w:type="dxa"/>
            </w:tcMar>
            <w:vAlign w:val="center"/>
          </w:tcPr>
          <w:p>
            <w:pPr>
              <w:pStyle w:val="TableContents"/>
              <w:spacing w:before="0" w:after="283"/>
              <w:jc w:val="left"/>
              <w:rPr/>
            </w:pPr>
            <w:r>
              <w:rPr/>
              <w:t>Richard McGee, Executive Vice President, General Counsel and Secretary</w:t>
            </w:r>
          </w:p>
        </w:tc>
        <w:tc>
          <w:tcPr>
            <w:tcW w:w="60" w:type="dxa"/>
            <w:tcBorders/>
            <w:shd w:fill="CCEEFF" w:val="clear"/>
            <w:tcMar>
              <w:bottom w:w="0" w:type="dxa"/>
            </w:tcMar>
            <w:vAlign w:val="center"/>
          </w:tcPr>
          <w:p>
            <w:pPr>
              <w:pStyle w:val="TableContents"/>
              <w:spacing w:before="0" w:after="283"/>
              <w:rPr/>
            </w:pPr>
            <w:r>
              <w:rPr/>
              <w:t> </w:t>
            </w:r>
          </w:p>
        </w:tc>
        <w:tc>
          <w:tcPr>
            <w:tcW w:w="301" w:type="dxa"/>
            <w:tcBorders/>
            <w:shd w:fill="CCEEFF" w:val="clear"/>
            <w:tcMar>
              <w:bottom w:w="0" w:type="dxa"/>
            </w:tcMar>
            <w:vAlign w:val="center"/>
          </w:tcPr>
          <w:p>
            <w:pPr>
              <w:pStyle w:val="TableContents"/>
              <w:spacing w:before="0" w:after="283"/>
              <w:jc w:val="left"/>
              <w:rPr/>
            </w:pPr>
            <w:r>
              <w:rPr/>
              <w:t> </w:t>
            </w:r>
          </w:p>
        </w:tc>
        <w:tc>
          <w:tcPr>
            <w:tcW w:w="1923" w:type="dxa"/>
            <w:tcBorders/>
            <w:shd w:fill="CCEEFF" w:val="clear"/>
            <w:tcMar>
              <w:bottom w:w="0" w:type="dxa"/>
            </w:tcMar>
            <w:vAlign w:val="center"/>
          </w:tcPr>
          <w:p>
            <w:pPr>
              <w:pStyle w:val="TableContents"/>
              <w:spacing w:before="0" w:after="283"/>
              <w:jc w:val="center"/>
              <w:rPr/>
            </w:pPr>
            <w:r>
              <w:rPr/>
              <w:t>300%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194" w:type="dxa"/>
            <w:tcBorders/>
            <w:shd w:fill="CCEEFF" w:val="clear"/>
            <w:tcMar>
              <w:bottom w:w="0" w:type="dxa"/>
            </w:tcMar>
            <w:vAlign w:val="center"/>
          </w:tcPr>
          <w:p>
            <w:pPr>
              <w:pStyle w:val="TableContents"/>
              <w:spacing w:before="0" w:after="283"/>
              <w:jc w:val="left"/>
              <w:rPr/>
            </w:pPr>
            <w:r>
              <w:rPr/>
              <w:t>$</w:t>
            </w:r>
          </w:p>
        </w:tc>
        <w:tc>
          <w:tcPr>
            <w:tcW w:w="1365" w:type="dxa"/>
            <w:tcBorders/>
            <w:shd w:fill="CCEEFF" w:val="clear"/>
            <w:tcMar>
              <w:bottom w:w="0" w:type="dxa"/>
            </w:tcMar>
            <w:vAlign w:val="center"/>
          </w:tcPr>
          <w:p>
            <w:pPr>
              <w:pStyle w:val="TableContents"/>
              <w:spacing w:before="0" w:after="283"/>
              <w:jc w:val="right"/>
              <w:rPr/>
            </w:pPr>
            <w:r>
              <w:rPr/>
              <w:t>1,200,000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89" w:type="dxa"/>
            <w:tcBorders/>
            <w:shd w:fill="CCEEFF" w:val="clear"/>
            <w:tcMar>
              <w:bottom w:w="0" w:type="dxa"/>
            </w:tcMar>
            <w:vAlign w:val="center"/>
          </w:tcPr>
          <w:p>
            <w:pPr>
              <w:pStyle w:val="TableContents"/>
              <w:spacing w:before="0" w:after="283"/>
              <w:jc w:val="left"/>
              <w:rPr/>
            </w:pPr>
            <w:r>
              <w:rPr/>
              <w:t> </w:t>
            </w:r>
          </w:p>
        </w:tc>
        <w:tc>
          <w:tcPr>
            <w:tcW w:w="1187" w:type="dxa"/>
            <w:tcBorders/>
            <w:shd w:fill="CCEEFF" w:val="clear"/>
            <w:tcMar>
              <w:bottom w:w="0" w:type="dxa"/>
            </w:tcMar>
            <w:vAlign w:val="center"/>
          </w:tcPr>
          <w:p>
            <w:pPr>
              <w:pStyle w:val="TableContents"/>
              <w:spacing w:before="0" w:after="283"/>
              <w:jc w:val="right"/>
              <w:rPr/>
            </w:pPr>
            <w:r>
              <w:rPr/>
              <w:t>50,300</w:t>
            </w:r>
          </w:p>
        </w:tc>
        <w:tc>
          <w:tcPr>
            <w:tcW w:w="78" w:type="dxa"/>
            <w:tcBorders/>
            <w:shd w:fill="CCEEFF" w:val="clear"/>
            <w:tcMar>
              <w:bottom w:w="0" w:type="dxa"/>
            </w:tcMar>
            <w:vAlign w:val="center"/>
          </w:tcPr>
          <w:p>
            <w:pPr>
              <w:pStyle w:val="TableContents"/>
              <w:spacing w:before="0" w:after="283"/>
              <w:jc w:val="left"/>
              <w:rPr/>
            </w:pPr>
            <w:r>
              <w:rPr/>
              <w:t> </w:t>
            </w:r>
          </w:p>
        </w:tc>
      </w:tr>
    </w:tbl>
    <w:p>
      <w:pPr>
        <w:pStyle w:val="TextBody"/>
        <w:spacing w:before="0" w:after="0"/>
        <w:ind w:left="0" w:right="0" w:firstLine="46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45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phantom units will vest (become payable 1-for-1 in PAA common units) 50% on the August 2022 distribution date and 50% on the later of the August 2022 distribution date and the first distribution date following PAA’s achievement of distributable cash flow (“DCF”) per common unit of at least $2.65 on a trailing four quarter basis. The applicable trailing four quarter period for determining whether the requisite DCF per common unit has been achieved for vesting of phantom units may not begin until after December 31, 2020. The phantom units include tandem distribution equivalent rights (“DERs”) that will vest (i) 50% on the August 2020 distribution date and (ii) 50% on the first distribution date following January 1, 2021 on which PAA achieves DCF per common unit of at least $2.50 on a trailing four quarter basis. The DERs expire when the phantom units vest.</w:t>
      </w:r>
    </w:p>
    <w:p>
      <w:pPr>
        <w:pStyle w:val="TextBody"/>
        <w:spacing w:before="0" w:after="0"/>
        <w:ind w:left="0" w:right="0" w:hanging="0"/>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2</w:t>
      </w:r>
    </w:p>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spacing w:before="0" w:after="0"/>
        <w:ind w:left="0" w:right="0" w:hanging="0"/>
        <w:jc w:val="both"/>
        <w:rPr>
          <w:caps w:val="false"/>
          <w:smallCaps w:val="false"/>
        </w:rPr>
      </w:pPr>
      <w:r>
        <w:rPr>
          <w:caps w:val="false"/>
          <w:smallCaps w:val="false"/>
        </w:rPr>
        <w:t> </w:t>
      </w:r>
    </w:p>
    <w:tbl>
      <w:tblPr>
        <w:tblW w:w="7658" w:type="dxa"/>
        <w:jc w:val="left"/>
        <w:tblInd w:w="0" w:type="dxa"/>
        <w:tblCellMar>
          <w:top w:w="0" w:type="dxa"/>
          <w:left w:w="0" w:type="dxa"/>
          <w:bottom w:w="0" w:type="dxa"/>
          <w:right w:w="0" w:type="dxa"/>
        </w:tblCellMar>
      </w:tblPr>
      <w:tblGrid>
        <w:gridCol w:w="2255"/>
        <w:gridCol w:w="749"/>
        <w:gridCol w:w="984"/>
        <w:gridCol w:w="3670"/>
      </w:tblGrid>
      <w:tr>
        <w:trPr/>
        <w:tc>
          <w:tcPr>
            <w:tcW w:w="2255" w:type="dxa"/>
            <w:tcBorders/>
            <w:shd w:fill="auto" w:val="clear"/>
            <w:vAlign w:val="center"/>
          </w:tcPr>
          <w:p>
            <w:pPr>
              <w:pStyle w:val="TableContents"/>
              <w:spacing w:before="0" w:after="283"/>
              <w:rPr/>
            </w:pPr>
            <w:r>
              <w:rPr/>
              <w:t> </w:t>
            </w:r>
          </w:p>
        </w:tc>
        <w:tc>
          <w:tcPr>
            <w:tcW w:w="5403" w:type="dxa"/>
            <w:gridSpan w:val="3"/>
            <w:tcBorders/>
            <w:shd w:fill="auto" w:val="clear"/>
            <w:vAlign w:val="center"/>
          </w:tcPr>
          <w:p>
            <w:pPr>
              <w:pStyle w:val="TableContents"/>
              <w:spacing w:before="0" w:after="283"/>
              <w:rPr/>
            </w:pPr>
            <w:r>
              <w:rPr/>
              <w:t>PLAINS ALL AMERICAN PIPELINE, L.P.  </w:t>
            </w:r>
          </w:p>
        </w:tc>
      </w:tr>
      <w:tr>
        <w:trPr/>
        <w:tc>
          <w:tcPr>
            <w:tcW w:w="2255" w:type="dxa"/>
            <w:tcBorders/>
            <w:shd w:fill="auto" w:val="clear"/>
            <w:vAlign w:val="center"/>
          </w:tcPr>
          <w:p>
            <w:pPr>
              <w:pStyle w:val="TableContents"/>
              <w:spacing w:before="0" w:after="283"/>
              <w:rPr/>
            </w:pPr>
            <w:r>
              <w:rPr/>
              <w:t> </w:t>
            </w:r>
          </w:p>
        </w:tc>
        <w:tc>
          <w:tcPr>
            <w:tcW w:w="5403" w:type="dxa"/>
            <w:gridSpan w:val="3"/>
            <w:tcBorders/>
            <w:shd w:fill="auto"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283"/>
              <w:rPr/>
            </w:pPr>
            <w:r>
              <w:rPr/>
              <w:t>Date:  August 21, 2019</w:t>
            </w:r>
          </w:p>
        </w:tc>
        <w:tc>
          <w:tcPr>
            <w:tcW w:w="749" w:type="dxa"/>
            <w:tcBorders/>
            <w:shd w:fill="auto" w:val="clear"/>
            <w:vAlign w:val="center"/>
          </w:tcPr>
          <w:p>
            <w:pPr>
              <w:pStyle w:val="TableContents"/>
              <w:spacing w:before="0" w:after="283"/>
              <w:rPr/>
            </w:pPr>
            <w:r>
              <w:rPr/>
              <w:t>By:</w:t>
            </w:r>
          </w:p>
        </w:tc>
        <w:tc>
          <w:tcPr>
            <w:tcW w:w="4654" w:type="dxa"/>
            <w:gridSpan w:val="2"/>
            <w:tcBorders/>
            <w:shd w:fill="auto" w:val="clear"/>
            <w:vAlign w:val="center"/>
          </w:tcPr>
          <w:p>
            <w:pPr>
              <w:pStyle w:val="TableContents"/>
              <w:spacing w:before="0" w:after="283"/>
              <w:rPr/>
            </w:pPr>
            <w:r>
              <w:rPr/>
              <w:t>PAA GP LLC, its general partner</w:t>
            </w:r>
          </w:p>
        </w:tc>
      </w:tr>
      <w:tr>
        <w:trPr/>
        <w:tc>
          <w:tcPr>
            <w:tcW w:w="2255"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rPr/>
            </w:pPr>
            <w:r>
              <w:rPr/>
              <w:t>By:    </w:t>
            </w:r>
          </w:p>
        </w:tc>
        <w:tc>
          <w:tcPr>
            <w:tcW w:w="4654" w:type="dxa"/>
            <w:gridSpan w:val="2"/>
            <w:tcBorders/>
            <w:shd w:fill="auto" w:val="clear"/>
            <w:vAlign w:val="center"/>
          </w:tcPr>
          <w:p>
            <w:pPr>
              <w:pStyle w:val="TableContents"/>
              <w:spacing w:before="0" w:after="283"/>
              <w:rPr/>
            </w:pPr>
            <w:r>
              <w:rPr/>
              <w:t>Plains AAP, L.P., its sole member</w:t>
            </w:r>
          </w:p>
        </w:tc>
      </w:tr>
      <w:tr>
        <w:trPr/>
        <w:tc>
          <w:tcPr>
            <w:tcW w:w="2255"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rPr/>
            </w:pPr>
            <w:r>
              <w:rPr/>
              <w:t>By:</w:t>
            </w:r>
          </w:p>
        </w:tc>
        <w:tc>
          <w:tcPr>
            <w:tcW w:w="4654" w:type="dxa"/>
            <w:gridSpan w:val="2"/>
            <w:tcBorders/>
            <w:shd w:fill="auto" w:val="clear"/>
            <w:vAlign w:val="center"/>
          </w:tcPr>
          <w:p>
            <w:pPr>
              <w:pStyle w:val="TableContents"/>
              <w:spacing w:before="0" w:after="283"/>
              <w:rPr/>
            </w:pPr>
            <w:r>
              <w:rPr/>
              <w:t>Plains All American GP LLC, its general partner</w:t>
            </w:r>
          </w:p>
        </w:tc>
      </w:tr>
      <w:tr>
        <w:trPr/>
        <w:tc>
          <w:tcPr>
            <w:tcW w:w="2255"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rPr/>
            </w:pPr>
            <w:r>
              <w:rPr/>
              <w:t> </w:t>
            </w:r>
          </w:p>
        </w:tc>
        <w:tc>
          <w:tcPr>
            <w:tcW w:w="4654" w:type="dxa"/>
            <w:gridSpan w:val="2"/>
            <w:tcBorders/>
            <w:shd w:fill="auto" w:val="clear"/>
            <w:vAlign w:val="center"/>
          </w:tcPr>
          <w:p>
            <w:pPr>
              <w:pStyle w:val="TableContents"/>
              <w:spacing w:before="0" w:after="283"/>
              <w:rPr/>
            </w:pPr>
            <w:r>
              <w:rPr/>
              <w:t> </w:t>
            </w:r>
          </w:p>
        </w:tc>
      </w:tr>
      <w:tr>
        <w:trPr/>
        <w:tc>
          <w:tcPr>
            <w:tcW w:w="2255"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rPr/>
            </w:pPr>
            <w:r>
              <w:rPr/>
              <w:t>By:</w:t>
            </w:r>
          </w:p>
        </w:tc>
        <w:tc>
          <w:tcPr>
            <w:tcW w:w="4654" w:type="dxa"/>
            <w:gridSpan w:val="2"/>
            <w:tcBorders>
              <w:bottom w:val="single" w:sz="8" w:space="0" w:color="000000"/>
            </w:tcBorders>
            <w:shd w:fill="auto" w:val="clear"/>
            <w:tcMar>
              <w:bottom w:w="28" w:type="dxa"/>
            </w:tcMar>
            <w:vAlign w:val="center"/>
          </w:tcPr>
          <w:p>
            <w:pPr>
              <w:pStyle w:val="TableContents"/>
              <w:spacing w:before="0" w:after="283"/>
              <w:rPr/>
            </w:pPr>
            <w:r>
              <w:rPr/>
              <w:t>/s/ Richard McGee </w:t>
            </w:r>
          </w:p>
        </w:tc>
      </w:tr>
      <w:tr>
        <w:trPr/>
        <w:tc>
          <w:tcPr>
            <w:tcW w:w="2255"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rPr/>
            </w:pPr>
            <w:r>
              <w:rPr/>
              <w:t> </w:t>
            </w:r>
          </w:p>
        </w:tc>
        <w:tc>
          <w:tcPr>
            <w:tcW w:w="984" w:type="dxa"/>
            <w:tcBorders/>
            <w:shd w:fill="auto" w:val="clear"/>
            <w:vAlign w:val="center"/>
          </w:tcPr>
          <w:p>
            <w:pPr>
              <w:pStyle w:val="TableContents"/>
              <w:spacing w:before="0" w:after="283"/>
              <w:rPr/>
            </w:pPr>
            <w:r>
              <w:rPr/>
              <w:t>Name:</w:t>
            </w:r>
          </w:p>
        </w:tc>
        <w:tc>
          <w:tcPr>
            <w:tcW w:w="3670" w:type="dxa"/>
            <w:tcBorders/>
            <w:shd w:fill="auto" w:val="clear"/>
            <w:vAlign w:val="center"/>
          </w:tcPr>
          <w:p>
            <w:pPr>
              <w:pStyle w:val="TableContents"/>
              <w:spacing w:before="0" w:after="283"/>
              <w:rPr/>
            </w:pPr>
            <w:r>
              <w:rPr/>
              <w:t>Richard McGee    </w:t>
            </w:r>
          </w:p>
        </w:tc>
      </w:tr>
      <w:tr>
        <w:trPr/>
        <w:tc>
          <w:tcPr>
            <w:tcW w:w="2255" w:type="dxa"/>
            <w:tcBorders/>
            <w:shd w:fill="auto" w:val="clear"/>
            <w:vAlign w:val="center"/>
          </w:tcPr>
          <w:p>
            <w:pPr>
              <w:pStyle w:val="TableContents"/>
              <w:spacing w:before="0" w:after="283"/>
              <w:rPr/>
            </w:pPr>
            <w:r>
              <w:rPr/>
              <w:t> </w:t>
            </w:r>
          </w:p>
        </w:tc>
        <w:tc>
          <w:tcPr>
            <w:tcW w:w="749" w:type="dxa"/>
            <w:tcBorders/>
            <w:shd w:fill="auto" w:val="clear"/>
            <w:vAlign w:val="center"/>
          </w:tcPr>
          <w:p>
            <w:pPr>
              <w:pStyle w:val="TableContents"/>
              <w:spacing w:before="0" w:after="283"/>
              <w:rPr/>
            </w:pPr>
            <w:r>
              <w:rPr/>
              <w:t> </w:t>
            </w:r>
          </w:p>
        </w:tc>
        <w:tc>
          <w:tcPr>
            <w:tcW w:w="984" w:type="dxa"/>
            <w:tcBorders/>
            <w:shd w:fill="auto" w:val="clear"/>
            <w:vAlign w:val="center"/>
          </w:tcPr>
          <w:p>
            <w:pPr>
              <w:pStyle w:val="TableContents"/>
              <w:spacing w:before="0" w:after="283"/>
              <w:rPr/>
            </w:pPr>
            <w:r>
              <w:rPr/>
              <w:t>Title:</w:t>
            </w:r>
          </w:p>
        </w:tc>
        <w:tc>
          <w:tcPr>
            <w:tcW w:w="3670" w:type="dxa"/>
            <w:tcBorders/>
            <w:shd w:fill="auto" w:val="clear"/>
            <w:vAlign w:val="center"/>
          </w:tcPr>
          <w:p>
            <w:pPr>
              <w:pStyle w:val="TableContents"/>
              <w:spacing w:before="0" w:after="283"/>
              <w:rPr/>
            </w:pPr>
            <w:r>
              <w:rPr/>
              <w:t>Executive Vice President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jc w:val="center"/>
        <w:rPr>
          <w:sz w:val="17"/>
          <w:bdr w:val="single" w:sz="8" w:space="1" w:color="000000"/>
        </w:rPr>
      </w:pPr>
      <w:r>
        <w:rPr>
          <w:sz w:val="17"/>
          <w:bdr w:val="single" w:sz="8" w:space="1" w:color="000000"/>
        </w:rPr>
        <w:t>3</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707</Words>
  <CharactersWithSpaces>4573</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