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September 25, 2015</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ALL AMERICAN PIPELINE, L.P.</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PAA FINANCE CORP.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3820" w:type="dxa"/>
        <w:tblCellMar>
          <w:top w:w="0" w:type="dxa"/>
          <w:left w:w="0" w:type="dxa"/>
          <w:bottom w:w="0" w:type="dxa"/>
          <w:right w:w="0" w:type="dxa"/>
        </w:tblCellMar>
      </w:tblPr>
      <w:tr>
        <w:trPr>
          <w:trHeight w:val="161"/>
        </w:trPr>
        <w:tc>
          <w:tcPr>
            <w:tcW w:w="206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rPr>
                <w:sz w:val="20"/>
                <w:szCs w:val="20"/>
                <w:color w:val="auto"/>
              </w:rPr>
            </w:pPr>
            <w:r>
              <w:rPr>
                <w:rFonts w:ascii="Arial" w:cs="Arial" w:eastAsia="Arial" w:hAnsi="Arial"/>
                <w:sz w:val="14"/>
                <w:szCs w:val="14"/>
                <w:b w:val="1"/>
                <w:bCs w:val="1"/>
                <w:color w:val="auto"/>
                <w:w w:val="88"/>
              </w:rPr>
              <w:t>76-0582150</w:t>
            </w:r>
          </w:p>
        </w:tc>
      </w:tr>
      <w:tr>
        <w:trPr>
          <w:trHeight w:val="151"/>
        </w:trPr>
        <w:tc>
          <w:tcPr>
            <w:tcW w:w="2060" w:type="dxa"/>
            <w:vAlign w:val="bottom"/>
          </w:tcPr>
          <w:p>
            <w:pPr>
              <w:jc w:val="center"/>
              <w:ind w:right="312"/>
              <w:spacing w:after="0" w:line="151" w:lineRule="exact"/>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line="151" w:lineRule="exact"/>
              <w:rPr>
                <w:sz w:val="20"/>
                <w:szCs w:val="20"/>
                <w:color w:val="auto"/>
              </w:rPr>
            </w:pPr>
            <w:r>
              <w:rPr>
                <w:rFonts w:ascii="Arial" w:cs="Arial" w:eastAsia="Arial" w:hAnsi="Arial"/>
                <w:sz w:val="14"/>
                <w:szCs w:val="14"/>
                <w:b w:val="1"/>
                <w:bCs w:val="1"/>
                <w:color w:val="auto"/>
                <w:w w:val="88"/>
              </w:rPr>
              <w:t>56-2464313</w:t>
            </w:r>
          </w:p>
        </w:tc>
      </w:tr>
      <w:tr>
        <w:trPr>
          <w:trHeight w:val="149"/>
        </w:trPr>
        <w:tc>
          <w:tcPr>
            <w:tcW w:w="20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7"/>
              </w:rPr>
              <w:t>(State or Other Jurisdiction of</w:t>
            </w:r>
          </w:p>
        </w:tc>
        <w:tc>
          <w:tcPr>
            <w:tcW w:w="1400" w:type="dxa"/>
            <w:vAlign w:val="bottom"/>
          </w:tcPr>
          <w:p>
            <w:pPr>
              <w:jc w:val="center"/>
              <w:ind w:left="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6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00" w:type="dxa"/>
            <w:vAlign w:val="bottom"/>
          </w:tcPr>
          <w:p>
            <w:pPr>
              <w:jc w:val="center"/>
              <w:ind w:left="31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 General</w:t>
      </w:r>
    </w:p>
    <w:p>
      <w:pPr>
        <w:jc w:val="center"/>
        <w:ind w:right="-19"/>
        <w:spacing w:after="0" w:line="222" w:lineRule="auto"/>
        <w:rPr>
          <w:sz w:val="20"/>
          <w:szCs w:val="20"/>
          <w:color w:val="auto"/>
        </w:rPr>
      </w:pPr>
      <w:r>
        <w:rPr>
          <w:rFonts w:ascii="Arial" w:cs="Arial" w:eastAsia="Arial" w:hAnsi="Arial"/>
          <w:sz w:val="14"/>
          <w:szCs w:val="14"/>
          <w:b w:val="1"/>
          <w:bCs w:val="1"/>
          <w:color w:val="auto"/>
        </w:rPr>
        <w:t>Counsel and Secretary</w:t>
      </w:r>
    </w:p>
    <w:p>
      <w:pPr>
        <w:jc w:val="center"/>
        <w:ind w:right="-19"/>
        <w:spacing w:after="0" w:line="221"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1"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jc w:val="center"/>
        <w:ind w:right="-19"/>
        <w:spacing w:after="0" w:line="223" w:lineRule="auto"/>
        <w:rPr>
          <w:sz w:val="20"/>
          <w:szCs w:val="20"/>
          <w:color w:val="auto"/>
        </w:rPr>
      </w:pPr>
      <w:r>
        <w:rPr>
          <w:rFonts w:ascii="Arial" w:cs="Arial" w:eastAsia="Arial" w:hAnsi="Arial"/>
          <w:sz w:val="14"/>
          <w:szCs w:val="14"/>
          <w:b w:val="1"/>
          <w:bCs w:val="1"/>
          <w:color w:val="auto"/>
        </w:rPr>
        <w:t>David P. Oelman</w:t>
      </w:r>
    </w:p>
    <w:p>
      <w:pPr>
        <w:jc w:val="center"/>
        <w:ind w:right="-19"/>
        <w:spacing w:after="0" w:line="222"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SEC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48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p>
      <w:pPr>
        <w:ind w:left="320"/>
        <w:spacing w:after="0" w:line="161" w:lineRule="exact"/>
        <w:tabs>
          <w:tab w:leader="none" w:pos="3360" w:val="left"/>
          <w:tab w:leader="none" w:pos="6220" w:val="left"/>
          <w:tab w:leader="none" w:pos="94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sectPr>
          <w:pgSz w:w="11900" w:h="16874" w:orient="portrait"/>
          <w:cols w:equalWidth="0" w:num="1">
            <w:col w:w="11420"/>
          </w:cols>
          <w:pgMar w:left="240" w:top="685" w:right="239" w:bottom="0" w:gutter="0" w:footer="0" w:header="0"/>
        </w:sectPr>
      </w:pPr>
    </w:p>
    <w:bookmarkStart w:id="1" w:name="page2"/>
    <w:bookmarkEnd w:id="1"/>
    <w:tbl>
      <w:tblPr>
        <w:tblLayout w:type="fixed"/>
        <w:tblInd w:w="15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gridSpan w:val="2"/>
          </w:tcPr>
          <w:p>
            <w:pPr>
              <w:jc w:val="center"/>
              <w:spacing w:after="0"/>
              <w:rPr>
                <w:sz w:val="20"/>
                <w:szCs w:val="20"/>
                <w:color w:val="auto"/>
              </w:rPr>
            </w:pPr>
            <w:r>
              <w:rPr>
                <w:rFonts w:ascii="Arial" w:cs="Arial" w:eastAsia="Arial" w:hAnsi="Arial"/>
                <w:sz w:val="14"/>
                <w:szCs w:val="14"/>
                <w:color w:val="auto"/>
                <w:w w:val="89"/>
              </w:rPr>
              <w:t>(Do not check if a</w:t>
            </w:r>
          </w:p>
        </w:tc>
        <w:tc>
          <w:tcPr>
            <w:tcW w:w="16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0" w:type="dxa"/>
            <w:vAlign w:val="bottom"/>
            <w:gridSpan w:val="2"/>
          </w:tcPr>
          <w:p>
            <w:pPr>
              <w:jc w:val="center"/>
              <w:spacing w:after="0"/>
              <w:rPr>
                <w:sz w:val="20"/>
                <w:szCs w:val="20"/>
                <w:color w:val="auto"/>
              </w:rPr>
            </w:pPr>
            <w:r>
              <w:rPr>
                <w:rFonts w:ascii="Arial" w:cs="Arial" w:eastAsia="Arial" w:hAnsi="Arial"/>
                <w:sz w:val="14"/>
                <w:szCs w:val="14"/>
                <w:color w:val="auto"/>
                <w:w w:val="88"/>
              </w:rPr>
              <w:t>smaller reporting company)</w:t>
            </w:r>
          </w:p>
        </w:tc>
        <w:tc>
          <w:tcPr>
            <w:tcW w:w="16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80" w:type="dxa"/>
            <w:vAlign w:val="bottom"/>
            <w:tcBorders>
              <w:bottom w:val="single" w:sz="8" w:color="auto"/>
            </w:tcBorders>
            <w:gridSpan w:val="2"/>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2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960" w:type="dxa"/>
            <w:vAlign w:val="bottom"/>
            <w:gridSpan w:val="3"/>
          </w:tcPr>
          <w:p>
            <w:pPr>
              <w:ind w:left="140"/>
              <w:spacing w:after="0"/>
              <w:rPr>
                <w:sz w:val="20"/>
                <w:szCs w:val="20"/>
                <w:color w:val="auto"/>
              </w:rPr>
            </w:pPr>
            <w:r>
              <w:rPr>
                <w:rFonts w:ascii="Arial" w:cs="Arial" w:eastAsia="Arial" w:hAnsi="Arial"/>
                <w:sz w:val="14"/>
                <w:szCs w:val="14"/>
                <w:b w:val="1"/>
                <w:bCs w:val="1"/>
                <w:color w:val="auto"/>
              </w:rPr>
              <w:t>CALCULATION OF REGISTRATION FEE</w:t>
            </w:r>
          </w:p>
        </w:tc>
        <w:tc>
          <w:tcPr>
            <w:tcW w:w="16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0" w:type="dxa"/>
            <w:vAlign w:val="bottom"/>
            <w:gridSpan w:val="2"/>
          </w:tcPr>
          <w:p>
            <w:pPr>
              <w:jc w:val="center"/>
              <w:ind w:left="533"/>
              <w:spacing w:after="0" w:line="117" w:lineRule="exact"/>
              <w:rPr>
                <w:sz w:val="20"/>
                <w:szCs w:val="20"/>
                <w:color w:val="auto"/>
              </w:rPr>
            </w:pPr>
            <w:r>
              <w:rPr>
                <w:rFonts w:ascii="Arial" w:cs="Arial" w:eastAsia="Arial" w:hAnsi="Arial"/>
                <w:sz w:val="12"/>
                <w:szCs w:val="12"/>
                <w:b w:val="1"/>
                <w:bCs w:val="1"/>
                <w:color w:val="auto"/>
              </w:rPr>
              <w:t>Amount to be Registered/</w:t>
            </w:r>
          </w:p>
        </w:tc>
        <w:tc>
          <w:tcPr>
            <w:tcW w:w="16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0" w:type="dxa"/>
            <w:vAlign w:val="bottom"/>
            <w:gridSpan w:val="2"/>
          </w:tcPr>
          <w:p>
            <w:pPr>
              <w:jc w:val="center"/>
              <w:ind w:left="533"/>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6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0" w:type="dxa"/>
            <w:vAlign w:val="bottom"/>
            <w:gridSpan w:val="2"/>
          </w:tcPr>
          <w:p>
            <w:pPr>
              <w:jc w:val="center"/>
              <w:ind w:left="533"/>
              <w:spacing w:after="0" w:line="149" w:lineRule="exact"/>
              <w:rPr>
                <w:sz w:val="20"/>
                <w:szCs w:val="20"/>
                <w:color w:val="auto"/>
              </w:rPr>
            </w:pPr>
            <w:r>
              <w:rPr>
                <w:rFonts w:ascii="Arial" w:cs="Arial" w:eastAsia="Arial" w:hAnsi="Arial"/>
                <w:sz w:val="14"/>
                <w:szCs w:val="14"/>
                <w:b w:val="1"/>
                <w:bCs w:val="1"/>
                <w:color w:val="auto"/>
                <w:w w:val="90"/>
              </w:rPr>
              <w:t>Offering Price Per Unit/</w:t>
            </w:r>
          </w:p>
        </w:tc>
        <w:tc>
          <w:tcPr>
            <w:tcW w:w="16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jc w:val="center"/>
              <w:ind w:left="59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800" w:type="dxa"/>
            <w:vAlign w:val="bottom"/>
            <w:gridSpan w:val="2"/>
          </w:tcPr>
          <w:p>
            <w:pPr>
              <w:jc w:val="center"/>
              <w:ind w:left="533"/>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6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3840" w:type="dxa"/>
            <w:vAlign w:val="bottom"/>
            <w:tcBorders>
              <w:bottom w:val="single" w:sz="8" w:color="auto"/>
            </w:tcBorders>
            <w:gridSpan w:val="2"/>
          </w:tcPr>
          <w:p>
            <w:pPr>
              <w:jc w:val="center"/>
              <w:ind w:left="592"/>
              <w:spacing w:after="0"/>
              <w:rPr>
                <w:sz w:val="20"/>
                <w:szCs w:val="20"/>
                <w:color w:val="auto"/>
              </w:rPr>
            </w:pPr>
            <w:r>
              <w:rPr>
                <w:rFonts w:ascii="Arial" w:cs="Arial" w:eastAsia="Arial" w:hAnsi="Arial"/>
                <w:sz w:val="14"/>
                <w:szCs w:val="14"/>
                <w:b w:val="1"/>
                <w:bCs w:val="1"/>
                <w:color w:val="auto"/>
                <w:w w:val="85"/>
              </w:rPr>
              <w:t>to be Registered</w:t>
            </w:r>
          </w:p>
        </w:tc>
        <w:tc>
          <w:tcPr>
            <w:tcW w:w="2800" w:type="dxa"/>
            <w:vAlign w:val="bottom"/>
            <w:tcBorders>
              <w:bottom w:val="single" w:sz="8" w:color="auto"/>
            </w:tcBorders>
            <w:gridSpan w:val="2"/>
          </w:tcPr>
          <w:p>
            <w:pPr>
              <w:jc w:val="center"/>
              <w:ind w:left="533"/>
              <w:spacing w:after="0"/>
              <w:rPr>
                <w:sz w:val="20"/>
                <w:szCs w:val="20"/>
                <w:color w:val="auto"/>
              </w:rPr>
            </w:pPr>
            <w:r>
              <w:rPr>
                <w:rFonts w:ascii="Arial" w:cs="Arial" w:eastAsia="Arial" w:hAnsi="Arial"/>
                <w:sz w:val="14"/>
                <w:szCs w:val="14"/>
                <w:b w:val="1"/>
                <w:bCs w:val="1"/>
                <w:color w:val="auto"/>
                <w:w w:val="87"/>
              </w:rPr>
              <w:t>Aggregate Offering Price(1)</w:t>
            </w:r>
          </w:p>
        </w:tc>
        <w:tc>
          <w:tcPr>
            <w:tcW w:w="16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Common units representing limited partner interests</w:t>
            </w:r>
          </w:p>
        </w:tc>
        <w:tc>
          <w:tcPr>
            <w:tcW w:w="1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69"/>
        </w:trPr>
        <w:tc>
          <w:tcPr>
            <w:tcW w:w="3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Debt securities</w:t>
            </w:r>
          </w:p>
        </w:tc>
        <w:tc>
          <w:tcPr>
            <w:tcW w:w="1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169"/>
        </w:trPr>
        <w:tc>
          <w:tcPr>
            <w:tcW w:w="3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Total</w:t>
            </w:r>
          </w:p>
        </w:tc>
        <w:tc>
          <w:tcPr>
            <w:tcW w:w="2800" w:type="dxa"/>
            <w:vAlign w:val="bottom"/>
            <w:tcBorders>
              <w:bottom w:val="single" w:sz="8" w:color="auto"/>
            </w:tcBorders>
            <w:gridSpan w:val="2"/>
          </w:tcPr>
          <w:p>
            <w:pPr>
              <w:jc w:val="center"/>
              <w:ind w:left="533"/>
              <w:spacing w:after="0"/>
              <w:rPr>
                <w:sz w:val="20"/>
                <w:szCs w:val="20"/>
                <w:color w:val="auto"/>
              </w:rPr>
            </w:pPr>
            <w:r>
              <w:rPr>
                <w:rFonts w:ascii="Arial" w:cs="Arial" w:eastAsia="Arial" w:hAnsi="Arial"/>
                <w:sz w:val="14"/>
                <w:szCs w:val="14"/>
                <w:color w:val="auto"/>
                <w:w w:val="93"/>
              </w:rPr>
              <w:t>(1)</w:t>
            </w:r>
          </w:p>
        </w:tc>
        <w:tc>
          <w:tcPr>
            <w:tcW w:w="16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3"/>
              </w:rPr>
              <w:t>(1)</w:t>
            </w: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32" w:hanging="532"/>
        <w:spacing w:after="0" w:line="233" w:lineRule="auto"/>
        <w:tabs>
          <w:tab w:leader="none" w:pos="532"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or number of the securities of each identified class is being registered as may from time to time be offered hereunder at indeterminate prices. In accordance with Rules 456(b) and 457(r) under the Securities Act of 1933, as amended, the registrant is deferring payment of all of the registration fee and will pay the registration fee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746760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763905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933450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116"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48" w:lineRule="exact"/>
        <w:rPr>
          <w:sz w:val="20"/>
          <w:szCs w:val="20"/>
          <w:color w:val="auto"/>
        </w:rPr>
      </w:pPr>
    </w:p>
    <w:p>
      <w:pPr>
        <w:ind w:right="20" w:firstLine="351"/>
        <w:spacing w:after="0" w:line="243" w:lineRule="auto"/>
        <w:rPr>
          <w:sz w:val="20"/>
          <w:szCs w:val="20"/>
          <w:color w:val="auto"/>
        </w:rPr>
      </w:pPr>
      <w:r>
        <w:rPr>
          <w:rFonts w:ascii="Arial" w:cs="Arial" w:eastAsia="Arial" w:hAnsi="Arial"/>
          <w:sz w:val="22"/>
          <w:szCs w:val="22"/>
          <w:b w:val="1"/>
          <w:bCs w:val="1"/>
          <w:color w:val="auto"/>
        </w:rPr>
        <w:t>Investing in our common units and the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2380" w:type="dxa"/>
            <w:vAlign w:val="bottom"/>
            <w:gridSpan w:val="10"/>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Ratio of Earnings to Fixed Charges</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Description of Our Debt Securities</w:t>
              </w:r>
            </w:hyperlink>
          </w:p>
        </w:tc>
        <w:tc>
          <w:tcPr>
            <w:tcW w:w="1080" w:type="dxa"/>
            <w:vAlign w:val="bottom"/>
            <w:gridSpan w:val="5"/>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256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additional or different information. If any other person provides you with additional, different or inconsistent information, you should not rely on it.</w:t>
      </w:r>
    </w:p>
    <w:p>
      <w:pPr>
        <w:spacing w:after="0" w:line="186"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2015 and June 30, 2015;</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9, 2015, January 20, 2015, March 2, 2015, May 15, 2015, May 26, 2015, June 11, 2015, August 14, 2015, August 19, 2015 and August 26, 2015;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86" w:lineRule="exact"/>
        <w:rPr>
          <w:sz w:val="20"/>
          <w:szCs w:val="20"/>
          <w:color w:val="auto"/>
        </w:rPr>
      </w:pPr>
    </w:p>
    <w:p>
      <w:pPr>
        <w:ind w:right="58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the results or outcomes anticipated in the forward-looking statements. The most important of these factors include, but are not limited to:</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in Item 1A. of our 2014 Annual Report on Form 10-K for the fiscal year ended December 31, 2014 (File No. 001-14569). Except as required by applicable securities laws, we do not intend to update these forward-looking statements and information.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are one of the largest publicly 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LLC, Plains AAP, L.P. and Plains All American GP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including our Annual Report on Form 10-K for the fiscal year ended December 31, 2014, which is incorporated by reference herein.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2014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2.67x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4.41x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4.03x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4.13x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2.57x</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right="240" w:hanging="531"/>
        <w:spacing w:after="0" w:line="259"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Any resignation will require the appointment of a successor trustee under the applicable indenture in accordance with the terms and conditions of such indenture.</w:t>
      </w:r>
    </w:p>
    <w:p>
      <w:pPr>
        <w:spacing w:after="0" w:line="26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that exceed the minimum quarterly distribution, if any, and the related 2% distribution to the general partner.</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8" w:lineRule="exact"/>
        <w:rPr>
          <w:sz w:val="20"/>
          <w:szCs w:val="20"/>
          <w:color w:val="auto"/>
        </w:rPr>
      </w:pPr>
    </w:p>
    <w:p>
      <w:pPr>
        <w:ind w:left="1080" w:right="3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$0.2475 for that quarter for each outstanding unit (the "first target distribution");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$0.3375 for that quarter for each outstanding unit (the "second target distribution");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right="26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97"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When Payback Occurs.</w:t>
      </w:r>
      <w:r>
        <w:rPr>
          <w:sz w:val="20"/>
          <w:szCs w:val="20"/>
          <w:color w:val="auto"/>
        </w:rPr>
        <w:tab/>
      </w:r>
      <w:r>
        <w:rPr>
          <w:rFonts w:ascii="Arial" w:cs="Arial" w:eastAsia="Arial" w:hAnsi="Arial"/>
          <w:sz w:val="15"/>
          <w:szCs w:val="15"/>
          <w:color w:val="auto"/>
        </w:rPr>
        <w:t>When "payback" of the reduced initial unit price has occurred, i.e., when the unrecovered capital of the common units is zero, then</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example, in the event of a two-for-one split of the common units, the minimum quarterly distribution, each of the target distribution levels and the unrecovered capital of the common units would each be reduced to 50% of its pre-split level.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74" w:lineRule="exact"/>
        <w:rPr>
          <w:sz w:val="20"/>
          <w:szCs w:val="20"/>
          <w:color w:val="auto"/>
        </w:rPr>
      </w:pPr>
    </w:p>
    <w:p>
      <w:pPr>
        <w:jc w:val="both"/>
        <w:ind w:left="1080" w:right="2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61" w:lineRule="exact"/>
        <w:rPr>
          <w:sz w:val="20"/>
          <w:szCs w:val="20"/>
          <w:color w:val="auto"/>
        </w:rPr>
      </w:pPr>
    </w:p>
    <w:p>
      <w:pPr>
        <w:ind w:left="360"/>
        <w:spacing w:after="0"/>
        <w:tabs>
          <w:tab w:leader="none" w:pos="2120" w:val="left"/>
        </w:tabs>
        <w:rPr>
          <w:sz w:val="20"/>
          <w:szCs w:val="20"/>
          <w:color w:val="auto"/>
        </w:rPr>
      </w:pPr>
      <w:r>
        <w:rPr>
          <w:rFonts w:ascii="Arial" w:cs="Arial" w:eastAsia="Arial" w:hAnsi="Arial"/>
          <w:sz w:val="18"/>
          <w:szCs w:val="18"/>
          <w:i w:val="1"/>
          <w:iCs w:val="1"/>
          <w:color w:val="auto"/>
        </w:rPr>
        <w:t>Manner of Adjustment.</w:t>
      </w:r>
      <w:r>
        <w:rPr>
          <w:sz w:val="20"/>
          <w:szCs w:val="20"/>
          <w:color w:val="auto"/>
        </w:rPr>
        <w:tab/>
      </w:r>
      <w:r>
        <w:rPr>
          <w:rFonts w:ascii="Arial" w:cs="Arial" w:eastAsia="Arial" w:hAnsi="Arial"/>
          <w:sz w:val="16"/>
          <w:szCs w:val="16"/>
          <w:color w:val="auto"/>
        </w:rPr>
        <w:t>If we liquidate, we would allocate any loss to the general partner and each unitholder as follows:</w:t>
      </w:r>
    </w:p>
    <w:p>
      <w:pPr>
        <w:spacing w:after="0" w:line="252" w:lineRule="exact"/>
        <w:rPr>
          <w:sz w:val="20"/>
          <w:szCs w:val="20"/>
          <w:color w:val="auto"/>
        </w:rPr>
      </w:pPr>
    </w:p>
    <w:p>
      <w:pPr>
        <w:ind w:left="1080" w:right="1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5620" w:right="2860" w:hanging="5072"/>
        <w:spacing w:after="0" w:line="519" w:lineRule="auto"/>
        <w:tabs>
          <w:tab w:leader="none" w:pos="10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 and potential changes in applicable tax laws.</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 traded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partnerships as corporations upon which we rely for our treatment as a partnership for U.S. federal income tax purposes.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unitholder's tax basis in its units initially will be the amount it paid for those units plus the unitholder's initial share of our liabilities. That basis generally will be (i) increased by the unitholder's share of our income and any increases in such unitholder's share of our "nonrecourse liabilities" (liabilities for which no partner, including our general partner, bears the economic risk of loss), and (ii) decreased, but not below zero, by distributions to it, by its share of our losses, and any decreases in its share of our nonrecourse liabilities and its share of our expenditures that are neither deductible nor required to be capitalized.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67" w:lineRule="exact"/>
        <w:rPr>
          <w:sz w:val="20"/>
          <w:szCs w:val="20"/>
          <w:color w:val="auto"/>
        </w:rPr>
      </w:pPr>
    </w:p>
    <w:p>
      <w:pPr>
        <w:ind w:right="4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w:t>
      </w:r>
    </w:p>
    <w:p>
      <w:pPr>
        <w:spacing w:after="0" w:line="2" w:lineRule="exact"/>
        <w:rPr>
          <w:sz w:val="20"/>
          <w:szCs w:val="20"/>
          <w:color w:val="auto"/>
        </w:rPr>
      </w:pPr>
    </w:p>
    <w:p>
      <w:pPr>
        <w:ind w:right="400" w:firstLine="8"/>
        <w:spacing w:after="0" w:line="261"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(generally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or your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we are authorized to pay those taxes and treat the payment as a distribution of cash to the relevant unitholder or general partner.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nearly as is practicable.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5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 allocation of items of our income, gain, loss or deduction, generally must have "substantial economic effect" as determined under Treasury Regulations. If an allocation does not have substantial economic effect, it will be reallocated to our common unitholders the basis of their interests in us, which will be determined by taking into account all the facts and circumstances, including:</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225"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Vinson &amp; Elkins L.L.P. is of the opinion that, with the exception of the issues described in "—Section 754 Election" and "—Disposition of Units— Allocations Between Transferors and Transferees," allocations under our partnership agreement will have substantial economic effect.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made the election permitted by Section 754 of the Code that permits us to adjust the tax basis in our assets as to specific purchased units under Section 743(b) of the Code to reflect the unit purchase price. The Section 743(b) adjustment separately applies to each purchaser of units based upon the values and basis of our assets at the time of the relevant purchase. The Section 743(b) adjustment does not apply to a person who purchases units directly from us. For purposes of this discussion, a common unitholder's basis in our assets will be considered to have two components: (1) its share of the tax basis in our assets as to all common unitholders ("common basis") and (2) its Section 743(b) adjustment to that tax basis (which may be positive or negative).</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Treasury Regulations, a Section 743(b) adjustment attributable to property depreciable under Section 168 of the Code, such as our storage assets, may be amortizable over the remaining cost recovery period for such property, while a Section 743(b) adjustment attributable to properties subject to depreciation under Section 167 of the Code, must be amortized straight-line or using the 150% declining balance method. As a result, if we owned any assets subject to depreciation under Section 167 of the Code, the amortization rates could give rise to differences in the taxation of common unitholders purchasing units from us and common unitholders purchasing from other common unitholders.</w:t>
      </w:r>
    </w:p>
    <w:p>
      <w:pPr>
        <w:spacing w:after="0" w:line="17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these or any other Treasury Regulations. Please read "—Uniformity of Units." Consistent with this authority, we intend to treat properties depreciable under Section 167, if any, in the same manner as properties depreciable under Section 168 for this purpose. These positions are consistent with the methods employed by other publicly traded partnerships but are inconsistent with the existing Treasury Regulations, and Vinson &amp; Elkins L.L.P. has not opined on the validity of this approach.</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IRS may challenge our positions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"—Tax Consequences of Unit Ownership—Allocation of Income, Gain, Loss and Deduction."</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jc w:val="both"/>
        <w:ind w:right="100" w:firstLine="348"/>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5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5620" w:right="3140" w:hanging="5072"/>
        <w:spacing w:after="0" w:line="519" w:lineRule="auto"/>
        <w:tabs>
          <w:tab w:leader="none" w:pos="10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Nonetheless, the safe harbor in the proposed regulations differs slightly from the proration method we have adopted because the safe harbor would allocate tax items among the months based upon the relative number of days in each month, and could require certain tax items which our general partner may not consider extraordinary to be allocated to the month in which such items actually occur.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might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77"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will be considered to have terminated our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constructive termination occurring on a date other than December 31 will result in us filing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We would be required to make new tax elections after a termination, including a new election under Section 754 of the Code, and the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could result from a literal application of Treasury Regulation Section 1.167(c)-1(a)(6), which is not anticipated to apply to a material portion of our assets. Any non-uniformity could have a negative impact on the value of the units. Please read "—Tax Consequences of Unit Ownership—Section 754 Election."</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necessary to preserve the uniformity of our units, our partnership agreement permits our general partner to take positions in filing our tax returns even when contrary to a literal application of regulations like the one described above. These positions may include reducing for some common unitholders the depreciation, amortization or loss deductions to which they would otherwise be entitled or reporting a slower amortization of Section 743(b) adjustments for some common unitholders than that to which they would otherwise be entitled. The general partner does not anticipate needing to take such positions, but if they were necessary, Vinson &amp; Elkins L.L.P. would be unable to opine as to validity of such filing positions in the absence of direct and controlling authority.</w:t>
      </w:r>
    </w:p>
    <w:p>
      <w:pPr>
        <w:spacing w:after="0" w:line="170"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Non-U.S. Unitholders will be considered to be engaged in business in the United States because of their ownership of our units. Furthermore, it is probable that they will be deemed to conduct such activities through permanent establishments in the U.S.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Unitholder from the sale of its interest in a partnership that is engaged in a trade or business in the United States will be considered to be "effectively connected" with a U.S. trade or business. Thus, part of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IRS may audit our federal income tax information returns. Neither we, nor Vinson &amp; Elkins L.L.P. can assure prospective unitholders that the IRS will not successfully contend in court that those positions are impermissible,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not related to our returns as well as those related to its returns.</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5620" w:right="460" w:hanging="4180"/>
        <w:spacing w:after="0" w:line="519" w:lineRule="auto"/>
        <w:tabs>
          <w:tab w:leader="none" w:pos="17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60" w:hanging="320"/>
        <w:spacing w:after="0"/>
        <w:tabs>
          <w:tab w:leader="none" w:pos="17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2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r>
      <w:tr>
        <w:trPr>
          <w:trHeight w:val="210"/>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108"/>
        </w:trPr>
        <w:tc>
          <w:tcPr>
            <w:tcW w:w="212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reliance on Rule 456(b) and Rule 457(r).</w:t>
      </w:r>
    </w:p>
    <w:p>
      <w:pPr>
        <w:spacing w:after="0" w:line="252" w:lineRule="exact"/>
        <w:rPr>
          <w:sz w:val="20"/>
          <w:szCs w:val="20"/>
          <w:color w:val="auto"/>
        </w:rPr>
      </w:pPr>
    </w:p>
    <w:p>
      <w:pPr>
        <w:ind w:left="2260" w:right="60" w:hanging="540"/>
        <w:spacing w:after="0" w:line="268" w:lineRule="auto"/>
        <w:tabs>
          <w:tab w:leader="none" w:pos="2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general partner or its affiliates for the cost of) insurance against liabilities asserted against and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Plains All American GP LLC and with respect to any criminal proceeding, had no reason to believe his, her or its conduct was unlawful. Expenses incurred by a Company Affiliate in defending any such claim, demand, action, suit or proceeding will, from time to time, be advanced by Plains All American GP LLC prior to the final disposition of such claim, demand, action, suit or proceeding upon receipt by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7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58"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left="1620" w:hanging="532"/>
        <w:spacing w:after="0" w:line="290" w:lineRule="auto"/>
        <w:tabs>
          <w:tab w:leader="none" w:pos="1620" w:val="left"/>
        </w:tabs>
        <w:numPr>
          <w:ilvl w:val="2"/>
          <w:numId w:val="4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5" w:lineRule="exact"/>
        <w:rPr>
          <w:rFonts w:ascii="Arial" w:cs="Arial" w:eastAsia="Arial" w:hAnsi="Arial"/>
          <w:sz w:val="16"/>
          <w:szCs w:val="16"/>
          <w:color w:val="auto"/>
        </w:rPr>
      </w:pPr>
    </w:p>
    <w:p>
      <w:pPr>
        <w:ind w:left="1620" w:right="260" w:hanging="532"/>
        <w:spacing w:after="0" w:line="268" w:lineRule="auto"/>
        <w:tabs>
          <w:tab w:leader="none" w:pos="16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(l)(a), (l)(b) and (1)(c)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59"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221"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68" w:lineRule="auto"/>
        <w:tabs>
          <w:tab w:leader="none" w:pos="16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rFonts w:ascii="Arial" w:cs="Arial" w:eastAsia="Arial" w:hAnsi="Arial"/>
          <w:sz w:val="16"/>
          <w:szCs w:val="16"/>
          <w:color w:val="auto"/>
        </w:rPr>
      </w:pPr>
    </w:p>
    <w:p>
      <w:pPr>
        <w:ind w:left="1620"/>
        <w:spacing w:after="0" w:line="286" w:lineRule="auto"/>
        <w:rPr>
          <w:rFonts w:ascii="Arial" w:cs="Arial" w:eastAsia="Arial" w:hAnsi="Arial"/>
          <w:sz w:val="16"/>
          <w:szCs w:val="16"/>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080" w:right="20" w:hanging="532"/>
        <w:spacing w:after="0" w:line="255" w:lineRule="auto"/>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tabs>
          <w:tab w:leader="none" w:pos="16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620" w:right="380" w:hanging="532"/>
        <w:spacing w:after="0" w:line="268" w:lineRule="auto"/>
        <w:tabs>
          <w:tab w:leader="none" w:pos="16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right="20" w:hanging="532"/>
        <w:spacing w:after="0" w:line="268" w:lineRule="auto"/>
        <w:tabs>
          <w:tab w:leader="none" w:pos="16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74" w:lineRule="exact"/>
        <w:rPr>
          <w:sz w:val="20"/>
          <w:szCs w:val="20"/>
          <w:color w:val="auto"/>
        </w:rPr>
      </w:pPr>
    </w:p>
    <w:p>
      <w:pPr>
        <w:ind w:left="540" w:right="20" w:hanging="532"/>
        <w:spacing w:after="0" w:line="289"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25, 2015.</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58"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1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AAP, L.P., its sole member</w:t>
      </w:r>
    </w:p>
    <w:p>
      <w:pPr>
        <w:spacing w:after="0" w:line="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Greg L. Armstrong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and Chief Executive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PLAINS ALL AMERICAN GP LLC, for itself and as the general partner of PLAINS AAP, L.P., which is the sole member of PAA GP LLC, which is the general partner of PLAINS ALL AMERICAN PIPELINE, L.P.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640" w:type="dxa"/>
            <w:vAlign w:val="bottom"/>
          </w:tcPr>
          <w:p>
            <w:pPr>
              <w:ind w:left="160"/>
              <w:spacing w:after="0"/>
              <w:rPr>
                <w:sz w:val="20"/>
                <w:szCs w:val="20"/>
                <w:color w:val="auto"/>
              </w:rPr>
            </w:pPr>
            <w:r>
              <w:rPr>
                <w:rFonts w:ascii="Arial" w:cs="Arial" w:eastAsia="Arial" w:hAnsi="Arial"/>
                <w:sz w:val="18"/>
                <w:szCs w:val="18"/>
                <w:color w:val="auto"/>
                <w:w w:val="99"/>
              </w:rPr>
              <w:t>Chairman of the Board and Chief Executive</w:t>
            </w:r>
          </w:p>
        </w:tc>
        <w:tc>
          <w:tcPr>
            <w:tcW w:w="3140" w:type="dxa"/>
            <w:vAlign w:val="bottom"/>
          </w:tcPr>
          <w:p>
            <w:pPr>
              <w:ind w:left="38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vMerge w:val="restart"/>
          </w:tcPr>
          <w:p>
            <w:pPr>
              <w:ind w:left="160"/>
              <w:spacing w:after="0"/>
              <w:rPr>
                <w:sz w:val="20"/>
                <w:szCs w:val="20"/>
                <w:color w:val="auto"/>
              </w:rPr>
            </w:pPr>
            <w:r>
              <w:rPr>
                <w:rFonts w:ascii="Arial" w:cs="Arial" w:eastAsia="Arial" w:hAnsi="Arial"/>
                <w:sz w:val="18"/>
                <w:szCs w:val="18"/>
                <w:color w:val="auto"/>
              </w:rPr>
              <w:t>Officer (Principal Executive Officer)</w:t>
            </w: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64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6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64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c>
          <w:tcPr>
            <w:tcW w:w="3140" w:type="dxa"/>
            <w:vAlign w:val="bottom"/>
          </w:tcPr>
          <w:p>
            <w:pPr>
              <w:ind w:left="38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Harry N. Pefanis</w:t>
            </w:r>
          </w:p>
        </w:tc>
        <w:tc>
          <w:tcPr>
            <w:tcW w:w="3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Arial" w:cs="Arial" w:eastAsia="Arial" w:hAnsi="Arial"/>
                <w:sz w:val="18"/>
                <w:szCs w:val="18"/>
                <w:color w:val="auto"/>
              </w:rPr>
              <w:t>II-6</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680" w:type="dxa"/>
            <w:vAlign w:val="bottom"/>
          </w:tcPr>
          <w:p>
            <w:pPr>
              <w:ind w:left="160"/>
              <w:spacing w:after="0"/>
              <w:rPr>
                <w:sz w:val="20"/>
                <w:szCs w:val="20"/>
                <w:color w:val="auto"/>
              </w:rPr>
            </w:pPr>
            <w:r>
              <w:rPr>
                <w:rFonts w:ascii="Arial" w:cs="Arial" w:eastAsia="Arial" w:hAnsi="Arial"/>
                <w:sz w:val="18"/>
                <w:szCs w:val="18"/>
                <w:color w:val="auto"/>
                <w:w w:val="97"/>
              </w:rPr>
              <w:t>Executive Vice President and Chief Financial</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vMerge w:val="restart"/>
          </w:tcPr>
          <w:p>
            <w:pPr>
              <w:ind w:left="160"/>
              <w:spacing w:after="0"/>
              <w:rPr>
                <w:sz w:val="20"/>
                <w:szCs w:val="20"/>
                <w:color w:val="auto"/>
              </w:rPr>
            </w:pPr>
            <w:r>
              <w:rPr>
                <w:rFonts w:ascii="Arial" w:cs="Arial" w:eastAsia="Arial" w:hAnsi="Arial"/>
                <w:sz w:val="18"/>
                <w:szCs w:val="18"/>
                <w:color w:val="auto"/>
              </w:rPr>
              <w:t>Officer (Principal Financial Officer)</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68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680" w:type="dxa"/>
            <w:vAlign w:val="bottom"/>
          </w:tcPr>
          <w:p>
            <w:pPr>
              <w:ind w:left="160"/>
              <w:spacing w:after="0"/>
              <w:rPr>
                <w:sz w:val="20"/>
                <w:szCs w:val="20"/>
                <w:color w:val="auto"/>
              </w:rPr>
            </w:pPr>
            <w:r>
              <w:rPr>
                <w:rFonts w:ascii="Arial" w:cs="Arial" w:eastAsia="Arial" w:hAnsi="Arial"/>
                <w:sz w:val="18"/>
                <w:szCs w:val="18"/>
                <w:color w:val="auto"/>
              </w:rPr>
              <w:t>Vice President—Accounting and Chief</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vMerge w:val="restart"/>
          </w:tcPr>
          <w:p>
            <w:pPr>
              <w:ind w:left="160"/>
              <w:spacing w:after="0"/>
              <w:rPr>
                <w:sz w:val="20"/>
                <w:szCs w:val="20"/>
                <w:color w:val="auto"/>
              </w:rPr>
            </w:pPr>
            <w:r>
              <w:rPr>
                <w:rFonts w:ascii="Arial" w:cs="Arial" w:eastAsia="Arial" w:hAnsi="Arial"/>
                <w:sz w:val="18"/>
                <w:szCs w:val="18"/>
                <w:color w:val="auto"/>
              </w:rPr>
              <w:t>Accounting Officer (Principal Accounting</w:t>
            </w: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680" w:type="dxa"/>
            <w:vAlign w:val="bottom"/>
            <w:vMerge w:val="continue"/>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BEN FIGLOCK</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Ben Figlock</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EVERARDO GOYANES</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6"/>
              </w:rPr>
              <w:t>Everardo Goyanes</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/s/ GARY R. PETERSEN</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6"/>
              </w:rPr>
              <w:t>Gary R. Petersen</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/s/ JOHN T. RAYMOND</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7"/>
              </w:rPr>
              <w:t>John T. Raymond</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8"/>
              </w:rPr>
              <w:t>Robert V. Sinnott</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/s/ J. TAFT SYMONDS</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6"/>
              </w:rPr>
              <w:t>J. Taft Symonds</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/s/ CHRISTOPHER M. TEMPLE</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3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Christopher M. Temple</w:t>
            </w:r>
          </w:p>
        </w:tc>
        <w:tc>
          <w:tcPr>
            <w:tcW w:w="3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80" w:type="dxa"/>
            <w:vAlign w:val="bottom"/>
          </w:tcPr>
          <w:p>
            <w:pPr>
              <w:ind w:left="940"/>
              <w:spacing w:after="0"/>
              <w:rPr>
                <w:sz w:val="20"/>
                <w:szCs w:val="20"/>
                <w:color w:val="auto"/>
              </w:rPr>
            </w:pPr>
            <w:r>
              <w:rPr>
                <w:rFonts w:ascii="Arial" w:cs="Arial" w:eastAsia="Arial" w:hAnsi="Arial"/>
                <w:sz w:val="18"/>
                <w:szCs w:val="18"/>
                <w:color w:val="auto"/>
              </w:rPr>
              <w:t>II-7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25, 2015.</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PAA FINANCE CORP.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Greg L. Armstrong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780" w:type="dxa"/>
            <w:vAlign w:val="bottom"/>
          </w:tcPr>
          <w:p>
            <w:pPr>
              <w:ind w:left="260"/>
              <w:spacing w:after="0"/>
              <w:rPr>
                <w:sz w:val="20"/>
                <w:szCs w:val="20"/>
                <w:color w:val="auto"/>
              </w:rPr>
            </w:pPr>
            <w:r>
              <w:rPr>
                <w:rFonts w:ascii="Arial" w:cs="Arial" w:eastAsia="Arial" w:hAnsi="Arial"/>
                <w:sz w:val="18"/>
                <w:szCs w:val="18"/>
                <w:b w:val="1"/>
                <w:bCs w:val="1"/>
                <w:color w:val="auto"/>
              </w:rPr>
              <w:t>PAA FINANCE CORP.</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780" w:type="dxa"/>
            <w:vAlign w:val="bottom"/>
          </w:tcPr>
          <w:p>
            <w:pPr>
              <w:ind w:left="160"/>
              <w:spacing w:after="0"/>
              <w:rPr>
                <w:sz w:val="20"/>
                <w:szCs w:val="20"/>
                <w:color w:val="auto"/>
              </w:rPr>
            </w:pPr>
            <w:r>
              <w:rPr>
                <w:rFonts w:ascii="Arial" w:cs="Arial" w:eastAsia="Arial" w:hAnsi="Arial"/>
                <w:sz w:val="18"/>
                <w:szCs w:val="18"/>
                <w:color w:val="auto"/>
                <w:w w:val="98"/>
              </w:rPr>
              <w:t>Chief Executive Officer and Director (Principal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Executive Officer)</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780" w:type="dxa"/>
            <w:vAlign w:val="bottom"/>
          </w:tcPr>
          <w:p>
            <w:pPr>
              <w:ind w:left="160"/>
              <w:spacing w:after="0"/>
              <w:rPr>
                <w:sz w:val="20"/>
                <w:szCs w:val="20"/>
                <w:color w:val="auto"/>
              </w:rPr>
            </w:pPr>
            <w:r>
              <w:rPr>
                <w:rFonts w:ascii="Arial" w:cs="Arial" w:eastAsia="Arial" w:hAnsi="Arial"/>
                <w:sz w:val="18"/>
                <w:szCs w:val="18"/>
                <w:color w:val="auto"/>
              </w:rPr>
              <w:t>Executive Vice President, Chief Financial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Officer and Director (Principal Financial</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Officer)</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780" w:type="dxa"/>
            <w:vAlign w:val="bottom"/>
          </w:tcPr>
          <w:p>
            <w:pPr>
              <w:ind w:left="160"/>
              <w:spacing w:after="0"/>
              <w:rPr>
                <w:sz w:val="20"/>
                <w:szCs w:val="20"/>
                <w:color w:val="auto"/>
              </w:rPr>
            </w:pPr>
            <w:r>
              <w:rPr>
                <w:rFonts w:ascii="Arial" w:cs="Arial" w:eastAsia="Arial" w:hAnsi="Arial"/>
                <w:sz w:val="18"/>
                <w:szCs w:val="18"/>
                <w:color w:val="auto"/>
              </w:rPr>
              <w:t>Vice President—Accounting and Chief</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Accounting Officer (Principal Accounting</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Officer)</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780" w:type="dxa"/>
            <w:vAlign w:val="bottom"/>
          </w:tcPr>
          <w:p>
            <w:pPr>
              <w:ind w:left="160"/>
              <w:spacing w:after="0"/>
              <w:rPr>
                <w:sz w:val="20"/>
                <w:szCs w:val="20"/>
                <w:color w:val="auto"/>
              </w:rPr>
            </w:pPr>
            <w:r>
              <w:rPr>
                <w:rFonts w:ascii="Arial" w:cs="Arial" w:eastAsia="Arial" w:hAnsi="Arial"/>
                <w:sz w:val="18"/>
                <w:szCs w:val="18"/>
                <w:color w:val="auto"/>
              </w:rPr>
              <w:t>President and 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Harry N. Pefanis</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80" w:type="dxa"/>
            <w:vAlign w:val="bottom"/>
          </w:tcPr>
          <w:p>
            <w:pPr>
              <w:ind w:left="1020"/>
              <w:spacing w:after="0"/>
              <w:rPr>
                <w:sz w:val="20"/>
                <w:szCs w:val="20"/>
                <w:color w:val="auto"/>
              </w:rPr>
            </w:pPr>
            <w:r>
              <w:rPr>
                <w:rFonts w:ascii="Arial" w:cs="Arial" w:eastAsia="Arial" w:hAnsi="Arial"/>
                <w:sz w:val="18"/>
                <w:szCs w:val="18"/>
                <w:color w:val="auto"/>
              </w:rPr>
              <w:t>II-8</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1380"/>
        <w:spacing w:after="0"/>
        <w:tabs>
          <w:tab w:leader="none" w:pos="1820" w:val="left"/>
          <w:tab w:leader="none" w:pos="2180" w:val="left"/>
        </w:tabs>
        <w:rPr>
          <w:sz w:val="20"/>
          <w:szCs w:val="20"/>
          <w:color w:val="auto"/>
        </w:rPr>
      </w:pPr>
      <w:r>
        <w:rPr>
          <w:rFonts w:ascii="Arial" w:cs="Arial" w:eastAsia="Arial" w:hAnsi="Arial"/>
          <w:sz w:val="18"/>
          <w:szCs w:val="18"/>
          <w:color w:val="auto"/>
        </w:rPr>
        <w:t>1.1+</w:t>
        <w:tab/>
        <w:t>—</w:t>
      </w:r>
      <w:r>
        <w:rPr>
          <w:sz w:val="20"/>
          <w:szCs w:val="20"/>
          <w:color w:val="auto"/>
        </w:rPr>
        <w:tab/>
      </w:r>
      <w:r>
        <w:rPr>
          <w:rFonts w:ascii="Arial" w:cs="Arial" w:eastAsia="Arial" w:hAnsi="Arial"/>
          <w:sz w:val="16"/>
          <w:szCs w:val="16"/>
          <w:color w:val="auto"/>
        </w:rPr>
        <w:t>Form of Underwriting Agreement</w:t>
      </w:r>
    </w:p>
    <w:p>
      <w:pPr>
        <w:spacing w:after="0" w:line="252" w:lineRule="exact"/>
        <w:rPr>
          <w:sz w:val="20"/>
          <w:szCs w:val="20"/>
          <w:color w:val="auto"/>
        </w:rPr>
      </w:pPr>
    </w:p>
    <w:p>
      <w:pPr>
        <w:jc w:val="both"/>
        <w:ind w:left="1840" w:right="880" w:hanging="826"/>
        <w:spacing w:after="0" w:line="256" w:lineRule="auto"/>
        <w:tabs>
          <w:tab w:leader="none" w:pos="1820" w:val="left"/>
        </w:tabs>
        <w:rPr>
          <w:sz w:val="20"/>
          <w:szCs w:val="20"/>
          <w:color w:val="auto"/>
        </w:rPr>
      </w:pPr>
      <w:r>
        <w:rPr>
          <w:rFonts w:ascii="Arial" w:cs="Arial" w:eastAsia="Arial" w:hAnsi="Arial"/>
          <w:sz w:val="18"/>
          <w:szCs w:val="18"/>
          <w:color w:val="auto"/>
        </w:rPr>
        <w:t>4.1</w:t>
        <w:tab/>
        <w:t>— Indenture for Senior Debt Securities dated as of September 25, 2002 among Plains All American Pipeline, L.P., PAA Finance Corp. and Wachovia Bank, National Association, as original trustee (incorporated by reference to Exhibit 4.1 of the Partnership's Quarterly Report on Form 10-Q for the quarter ended September 30, 2002(File No. 001-14569)).</w:t>
      </w:r>
    </w:p>
    <w:p>
      <w:pPr>
        <w:spacing w:after="0" w:line="224" w:lineRule="exact"/>
        <w:rPr>
          <w:sz w:val="20"/>
          <w:szCs w:val="20"/>
          <w:color w:val="auto"/>
        </w:rPr>
      </w:pPr>
    </w:p>
    <w:p>
      <w:pPr>
        <w:ind w:left="1840" w:right="720" w:hanging="826"/>
        <w:spacing w:after="0" w:line="332" w:lineRule="auto"/>
        <w:tabs>
          <w:tab w:leader="none" w:pos="1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Form of Subordinated Indenture for Subordinated Debt Securities (incorporated by reference to Exhibit 4.2 of the Partnership's Registration Statement on Form S-3 filed on August 27, 2001 (File No. 333-68446))</w:t>
      </w:r>
    </w:p>
    <w:p>
      <w:pPr>
        <w:spacing w:after="0" w:line="139" w:lineRule="exact"/>
        <w:rPr>
          <w:sz w:val="20"/>
          <w:szCs w:val="20"/>
          <w:color w:val="auto"/>
        </w:rPr>
      </w:pPr>
    </w:p>
    <w:p>
      <w:pPr>
        <w:ind w:left="1380"/>
        <w:spacing w:after="0"/>
        <w:tabs>
          <w:tab w:leader="none" w:pos="1820" w:val="left"/>
          <w:tab w:leader="none" w:pos="2180" w:val="left"/>
        </w:tabs>
        <w:rPr>
          <w:sz w:val="20"/>
          <w:szCs w:val="20"/>
          <w:color w:val="auto"/>
        </w:rPr>
      </w:pPr>
      <w:r>
        <w:rPr>
          <w:rFonts w:ascii="Arial" w:cs="Arial" w:eastAsia="Arial" w:hAnsi="Arial"/>
          <w:sz w:val="18"/>
          <w:szCs w:val="18"/>
          <w:color w:val="auto"/>
        </w:rPr>
        <w:t>4.3+</w:t>
        <w:tab/>
        <w:t>—</w:t>
      </w:r>
      <w:r>
        <w:rPr>
          <w:sz w:val="20"/>
          <w:szCs w:val="20"/>
          <w:color w:val="auto"/>
        </w:rPr>
        <w:tab/>
      </w:r>
      <w:r>
        <w:rPr>
          <w:rFonts w:ascii="Arial" w:cs="Arial" w:eastAsia="Arial" w:hAnsi="Arial"/>
          <w:sz w:val="16"/>
          <w:szCs w:val="16"/>
          <w:color w:val="auto"/>
        </w:rPr>
        <w:t>Form of Senior Debt Securities</w:t>
      </w:r>
    </w:p>
    <w:p>
      <w:pPr>
        <w:spacing w:after="0" w:line="252" w:lineRule="exact"/>
        <w:rPr>
          <w:sz w:val="20"/>
          <w:szCs w:val="20"/>
          <w:color w:val="auto"/>
        </w:rPr>
      </w:pPr>
    </w:p>
    <w:p>
      <w:pPr>
        <w:ind w:left="1380"/>
        <w:spacing w:after="0"/>
        <w:tabs>
          <w:tab w:leader="none" w:pos="1820" w:val="left"/>
          <w:tab w:leader="none" w:pos="2180" w:val="left"/>
        </w:tabs>
        <w:rPr>
          <w:sz w:val="20"/>
          <w:szCs w:val="20"/>
          <w:color w:val="auto"/>
        </w:rPr>
      </w:pPr>
      <w:r>
        <w:rPr>
          <w:rFonts w:ascii="Arial" w:cs="Arial" w:eastAsia="Arial" w:hAnsi="Arial"/>
          <w:sz w:val="18"/>
          <w:szCs w:val="18"/>
          <w:color w:val="auto"/>
        </w:rPr>
        <w:t>4.4+</w:t>
        <w:tab/>
        <w:t>—</w:t>
      </w:r>
      <w:r>
        <w:rPr>
          <w:sz w:val="20"/>
          <w:szCs w:val="20"/>
          <w:color w:val="auto"/>
        </w:rPr>
        <w:tab/>
      </w:r>
      <w:r>
        <w:rPr>
          <w:rFonts w:ascii="Arial" w:cs="Arial" w:eastAsia="Arial" w:hAnsi="Arial"/>
          <w:sz w:val="16"/>
          <w:szCs w:val="16"/>
          <w:color w:val="auto"/>
        </w:rPr>
        <w:t>Form of Subordinated Debt Securities</w:t>
      </w:r>
    </w:p>
    <w:p>
      <w:pPr>
        <w:spacing w:after="0" w:line="252" w:lineRule="exact"/>
        <w:rPr>
          <w:sz w:val="20"/>
          <w:szCs w:val="20"/>
          <w:color w:val="auto"/>
        </w:rPr>
      </w:pPr>
    </w:p>
    <w:p>
      <w:pPr>
        <w:ind w:left="1380"/>
        <w:spacing w:after="0"/>
        <w:tabs>
          <w:tab w:leader="none" w:pos="1820" w:val="left"/>
          <w:tab w:leader="none" w:pos="2180" w:val="left"/>
        </w:tabs>
        <w:rPr>
          <w:sz w:val="20"/>
          <w:szCs w:val="20"/>
          <w:color w:val="auto"/>
        </w:rPr>
      </w:pPr>
      <w:r>
        <w:rPr>
          <w:rFonts w:ascii="Arial" w:cs="Arial" w:eastAsia="Arial" w:hAnsi="Arial"/>
          <w:sz w:val="18"/>
          <w:szCs w:val="18"/>
          <w:color w:val="auto"/>
        </w:rPr>
        <w:t>5.1*</w:t>
        <w:tab/>
        <w:t>—</w:t>
      </w:r>
      <w:r>
        <w:rPr>
          <w:sz w:val="20"/>
          <w:szCs w:val="20"/>
          <w:color w:val="auto"/>
        </w:rPr>
        <w:tab/>
      </w:r>
      <w:r>
        <w:rPr>
          <w:rFonts w:ascii="Arial" w:cs="Arial" w:eastAsia="Arial" w:hAnsi="Arial"/>
          <w:sz w:val="16"/>
          <w:szCs w:val="16"/>
          <w:color w:val="auto"/>
        </w:rPr>
        <w:t>Opinion of Vinson &amp; Elkins L.L.P. as to the legality of the securities being registered</w:t>
      </w:r>
    </w:p>
    <w:p>
      <w:pPr>
        <w:spacing w:after="0" w:line="252" w:lineRule="exact"/>
        <w:rPr>
          <w:sz w:val="20"/>
          <w:szCs w:val="20"/>
          <w:color w:val="auto"/>
        </w:rPr>
      </w:pPr>
    </w:p>
    <w:p>
      <w:pPr>
        <w:ind w:left="1380"/>
        <w:spacing w:after="0"/>
        <w:tabs>
          <w:tab w:leader="none" w:pos="1820" w:val="left"/>
          <w:tab w:leader="none" w:pos="2180" w:val="left"/>
        </w:tabs>
        <w:rPr>
          <w:sz w:val="20"/>
          <w:szCs w:val="20"/>
          <w:color w:val="auto"/>
        </w:rPr>
      </w:pPr>
      <w:r>
        <w:rPr>
          <w:rFonts w:ascii="Arial" w:cs="Arial" w:eastAsia="Arial" w:hAnsi="Arial"/>
          <w:sz w:val="18"/>
          <w:szCs w:val="18"/>
          <w:color w:val="auto"/>
        </w:rPr>
        <w:t>8.1*</w:t>
        <w:tab/>
        <w:t>—</w:t>
      </w:r>
      <w:r>
        <w:rPr>
          <w:sz w:val="20"/>
          <w:szCs w:val="20"/>
          <w:color w:val="auto"/>
        </w:rPr>
        <w:tab/>
      </w:r>
      <w:r>
        <w:rPr>
          <w:rFonts w:ascii="Arial" w:cs="Arial" w:eastAsia="Arial" w:hAnsi="Arial"/>
          <w:sz w:val="16"/>
          <w:szCs w:val="16"/>
          <w:color w:val="auto"/>
        </w:rPr>
        <w:t>Opinion of Vinson &amp; Elkins L.L.P. relating to tax matters</w:t>
      </w:r>
    </w:p>
    <w:p>
      <w:pPr>
        <w:spacing w:after="0" w:line="279" w:lineRule="exact"/>
        <w:rPr>
          <w:sz w:val="20"/>
          <w:szCs w:val="20"/>
          <w:color w:val="auto"/>
        </w:rPr>
      </w:pPr>
    </w:p>
    <w:p>
      <w:pPr>
        <w:ind w:left="1840" w:right="960" w:hanging="914"/>
        <w:spacing w:after="0" w:line="259" w:lineRule="auto"/>
        <w:tabs>
          <w:tab w:leader="none" w:pos="1820" w:val="left"/>
        </w:tabs>
        <w:rPr>
          <w:sz w:val="20"/>
          <w:szCs w:val="20"/>
          <w:color w:val="auto"/>
        </w:rPr>
      </w:pPr>
      <w:r>
        <w:rPr>
          <w:rFonts w:ascii="Arial" w:cs="Arial" w:eastAsia="Arial" w:hAnsi="Arial"/>
          <w:sz w:val="18"/>
          <w:szCs w:val="18"/>
          <w:color w:val="auto"/>
        </w:rPr>
        <w:t>12.1</w:t>
        <w:tab/>
        <w:t>— Calculation of ratio of earnings to fixed charges (incorporated by reference to Exhibit 12.1 of the Partnership's Quarterly Report on Form 10-Q for the quarterly period ended June 30, 2015 filed on August 7, 2015 (File No. 001-14569))</w:t>
      </w:r>
    </w:p>
    <w:p>
      <w:pPr>
        <w:spacing w:after="0" w:line="194" w:lineRule="exact"/>
        <w:rPr>
          <w:sz w:val="20"/>
          <w:szCs w:val="20"/>
          <w:color w:val="auto"/>
        </w:rPr>
      </w:pPr>
    </w:p>
    <w:p>
      <w:pPr>
        <w:ind w:left="1280"/>
        <w:spacing w:after="0"/>
        <w:tabs>
          <w:tab w:leader="none" w:pos="1820" w:val="left"/>
          <w:tab w:leader="none" w:pos="2180" w:val="left"/>
        </w:tabs>
        <w:rPr>
          <w:sz w:val="20"/>
          <w:szCs w:val="20"/>
          <w:color w:val="auto"/>
        </w:rPr>
      </w:pPr>
      <w:r>
        <w:rPr>
          <w:rFonts w:ascii="Arial" w:cs="Arial" w:eastAsia="Arial" w:hAnsi="Arial"/>
          <w:sz w:val="18"/>
          <w:szCs w:val="18"/>
          <w:color w:val="auto"/>
        </w:rPr>
        <w:t>23.1*</w:t>
        <w:tab/>
        <w:t>—</w:t>
      </w:r>
      <w:r>
        <w:rPr>
          <w:sz w:val="20"/>
          <w:szCs w:val="20"/>
          <w:color w:val="auto"/>
        </w:rPr>
        <w:tab/>
      </w:r>
      <w:r>
        <w:rPr>
          <w:rFonts w:ascii="Arial" w:cs="Arial" w:eastAsia="Arial" w:hAnsi="Arial"/>
          <w:sz w:val="15"/>
          <w:szCs w:val="15"/>
          <w:color w:val="auto"/>
        </w:rPr>
        <w:t>Consent of PricewaterhouseCoopers LLP</w:t>
      </w:r>
    </w:p>
    <w:p>
      <w:pPr>
        <w:spacing w:after="0" w:line="252" w:lineRule="exact"/>
        <w:rPr>
          <w:sz w:val="20"/>
          <w:szCs w:val="20"/>
          <w:color w:val="auto"/>
        </w:rPr>
      </w:pPr>
    </w:p>
    <w:p>
      <w:pPr>
        <w:ind w:left="1280"/>
        <w:spacing w:after="0"/>
        <w:tabs>
          <w:tab w:leader="none" w:pos="1820" w:val="left"/>
          <w:tab w:leader="none" w:pos="2180" w:val="left"/>
        </w:tabs>
        <w:rPr>
          <w:sz w:val="20"/>
          <w:szCs w:val="20"/>
          <w:color w:val="auto"/>
        </w:rPr>
      </w:pP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Consent of Vinson &amp; Elkins L.L.P. (contained in Exhibits 5.1 and 8.1)</w:t>
      </w:r>
    </w:p>
    <w:p>
      <w:pPr>
        <w:spacing w:after="0" w:line="252" w:lineRule="exact"/>
        <w:rPr>
          <w:sz w:val="20"/>
          <w:szCs w:val="20"/>
          <w:color w:val="auto"/>
        </w:rPr>
      </w:pPr>
    </w:p>
    <w:p>
      <w:pPr>
        <w:ind w:left="1280"/>
        <w:spacing w:after="0"/>
        <w:tabs>
          <w:tab w:leader="none" w:pos="1820" w:val="left"/>
          <w:tab w:leader="none" w:pos="2180" w:val="left"/>
        </w:tabs>
        <w:rPr>
          <w:sz w:val="20"/>
          <w:szCs w:val="20"/>
          <w:color w:val="auto"/>
        </w:rPr>
      </w:pPr>
      <w:r>
        <w:rPr>
          <w:rFonts w:ascii="Arial" w:cs="Arial" w:eastAsia="Arial" w:hAnsi="Arial"/>
          <w:sz w:val="18"/>
          <w:szCs w:val="18"/>
          <w:color w:val="auto"/>
        </w:rPr>
        <w:t>24.1*</w:t>
        <w:tab/>
        <w:t>—</w:t>
      </w:r>
      <w:r>
        <w:rPr>
          <w:sz w:val="20"/>
          <w:szCs w:val="20"/>
          <w:color w:val="auto"/>
        </w:rPr>
        <w:tab/>
      </w:r>
      <w:r>
        <w:rPr>
          <w:rFonts w:ascii="Arial" w:cs="Arial" w:eastAsia="Arial" w:hAnsi="Arial"/>
          <w:sz w:val="15"/>
          <w:szCs w:val="15"/>
          <w:color w:val="auto"/>
        </w:rPr>
        <w:t>Powers of Attorney (included on the signature page)</w:t>
      </w:r>
    </w:p>
    <w:p>
      <w:pPr>
        <w:spacing w:after="0" w:line="252" w:lineRule="exact"/>
        <w:rPr>
          <w:sz w:val="20"/>
          <w:szCs w:val="20"/>
          <w:color w:val="auto"/>
        </w:rPr>
      </w:pPr>
    </w:p>
    <w:p>
      <w:pPr>
        <w:ind w:left="1840" w:right="700" w:hanging="914"/>
        <w:spacing w:after="0" w:line="268" w:lineRule="auto"/>
        <w:tabs>
          <w:tab w:leader="none" w:pos="1820" w:val="left"/>
        </w:tabs>
        <w:rPr>
          <w:sz w:val="20"/>
          <w:szCs w:val="20"/>
          <w:color w:val="auto"/>
        </w:rPr>
      </w:pPr>
      <w:r>
        <w:rPr>
          <w:rFonts w:ascii="Arial" w:cs="Arial" w:eastAsia="Arial" w:hAnsi="Arial"/>
          <w:sz w:val="18"/>
          <w:szCs w:val="18"/>
          <w:color w:val="auto"/>
        </w:rPr>
        <w:t>25.1*</w:t>
        <w:tab/>
        <w:t>— Form T-1 Statement of Eligibility and Qualification under the Trust Indenture Act of 1939 of the trustee under the Senior Indenture</w:t>
      </w:r>
    </w:p>
    <w:p>
      <w:pPr>
        <w:spacing w:after="0" w:line="213" w:lineRule="exact"/>
        <w:rPr>
          <w:sz w:val="20"/>
          <w:szCs w:val="20"/>
          <w:color w:val="auto"/>
        </w:rPr>
      </w:pPr>
    </w:p>
    <w:p>
      <w:pPr>
        <w:ind w:left="1840" w:right="700" w:hanging="914"/>
        <w:spacing w:after="0" w:line="268" w:lineRule="auto"/>
        <w:tabs>
          <w:tab w:leader="none" w:pos="1820" w:val="left"/>
        </w:tabs>
        <w:rPr>
          <w:sz w:val="20"/>
          <w:szCs w:val="20"/>
          <w:color w:val="auto"/>
        </w:rPr>
      </w:pPr>
      <w:r>
        <w:rPr>
          <w:rFonts w:ascii="Arial" w:cs="Arial" w:eastAsia="Arial" w:hAnsi="Arial"/>
          <w:sz w:val="18"/>
          <w:szCs w:val="18"/>
          <w:color w:val="auto"/>
        </w:rPr>
        <w:t>25.2*</w:t>
        <w:tab/>
        <w:t>— Form T-1 Statement of Eligibility and Qualification under the Trust Indenture Act of 1939 of the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71755</wp:posOffset>
            </wp:positionV>
            <wp:extent cx="1517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68"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acted as counsel for Plains All American Pipeline,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the preparation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connection with the registration by the Partnership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offer and sale by the Partnership from time to time, pursuant to Rule 415 under the Securities Act, of:</w:t>
      </w:r>
    </w:p>
    <w:p>
      <w:pPr>
        <w:spacing w:after="0" w:line="197" w:lineRule="exact"/>
        <w:rPr>
          <w:sz w:val="20"/>
          <w:szCs w:val="20"/>
          <w:color w:val="auto"/>
        </w:rPr>
      </w:pPr>
    </w:p>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Common Units and Debt Securities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We have also participated in the preparation of the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contained in the Registration Statement to which this opinion is an exhibit.</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Limited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(iii) the Registration Statement, including the Prospectus, (iv) the Senior Indenture (the "</w:t>
      </w:r>
      <w:r>
        <w:rPr>
          <w:rFonts w:ascii="Arial" w:cs="Arial" w:eastAsia="Arial" w:hAnsi="Arial"/>
          <w:sz w:val="16"/>
          <w:szCs w:val="16"/>
          <w:b w:val="1"/>
          <w:bCs w:val="1"/>
          <w:i w:val="1"/>
          <w:iCs w:val="1"/>
          <w:color w:val="auto"/>
        </w:rPr>
        <w:t>Senior Indenture</w:t>
      </w:r>
      <w:r>
        <w:rPr>
          <w:rFonts w:ascii="Arial" w:cs="Arial" w:eastAsia="Arial" w:hAnsi="Arial"/>
          <w:sz w:val="16"/>
          <w:szCs w:val="16"/>
          <w:color w:val="auto"/>
        </w:rPr>
        <w:t>"), attached as Exhibit 4.1 to the Registration Statement, (v) the form of Subordinated Indenture (the "</w:t>
      </w:r>
      <w:r>
        <w:rPr>
          <w:rFonts w:ascii="Arial" w:cs="Arial" w:eastAsia="Arial" w:hAnsi="Arial"/>
          <w:sz w:val="16"/>
          <w:szCs w:val="16"/>
          <w:b w:val="1"/>
          <w:bCs w:val="1"/>
          <w:i w:val="1"/>
          <w:iCs w:val="1"/>
          <w:color w:val="auto"/>
        </w:rPr>
        <w:t>Subordinated Indenture</w:t>
      </w:r>
      <w:r>
        <w:rPr>
          <w:rFonts w:ascii="Arial" w:cs="Arial" w:eastAsia="Arial" w:hAnsi="Arial"/>
          <w:sz w:val="16"/>
          <w:szCs w:val="16"/>
          <w:color w:val="auto"/>
        </w:rPr>
        <w:t>,"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attached as Exhibit 4.2 to the Registration Statement, (vi) the Fourth Amended and Restated Agreement of Limited Partnership of the Partnership, as amended,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this opinion, we have assumed that:</w:t>
      </w:r>
    </w:p>
    <w:p>
      <w:pPr>
        <w:spacing w:after="0" w:line="225" w:lineRule="exact"/>
        <w:rPr>
          <w:sz w:val="20"/>
          <w:szCs w:val="20"/>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(including post-effective amendments), will have become effective;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Prospectus Supplement will have been prepared and filed with the Commission describing the Securities offered thereby;</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910590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123190</wp:posOffset>
            </wp:positionV>
            <wp:extent cx="5866130" cy="471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6130" cy="47180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9" w:name="page60"/>
    <w:bookmarkEnd w:id="59"/>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886460</wp:posOffset>
            </wp:positionH>
            <wp:positionV relativeFrom="page">
              <wp:posOffset>363220</wp:posOffset>
            </wp:positionV>
            <wp:extent cx="48895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September 25, 2016 Page 2</w:t>
      </w:r>
    </w:p>
    <w:p>
      <w:pPr>
        <w:spacing w:after="0" w:line="225" w:lineRule="exact"/>
        <w:rPr>
          <w:sz w:val="20"/>
          <w:szCs w:val="20"/>
          <w:color w:val="auto"/>
        </w:rPr>
      </w:pPr>
    </w:p>
    <w:p>
      <w:pPr>
        <w:ind w:left="180" w:right="520" w:firstLine="359"/>
        <w:spacing w:after="0" w:line="268" w:lineRule="auto"/>
        <w:tabs>
          <w:tab w:leader="none" w:pos="8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85" w:lineRule="exact"/>
        <w:rPr>
          <w:rFonts w:ascii="Arial" w:cs="Arial" w:eastAsia="Arial" w:hAnsi="Arial"/>
          <w:sz w:val="18"/>
          <w:szCs w:val="18"/>
          <w:color w:val="auto"/>
        </w:rPr>
      </w:pPr>
    </w:p>
    <w:p>
      <w:pPr>
        <w:ind w:left="180" w:right="20" w:firstLine="359"/>
        <w:spacing w:after="0" w:line="268" w:lineRule="auto"/>
        <w:tabs>
          <w:tab w:leader="none" w:pos="8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180" w:firstLine="359"/>
        <w:spacing w:after="0" w:line="298" w:lineRule="auto"/>
        <w:tabs>
          <w:tab w:leader="none" w:pos="864" w:val="left"/>
        </w:tabs>
        <w:numPr>
          <w:ilvl w:val="1"/>
          <w:numId w:val="58"/>
        </w:numPr>
        <w:rPr>
          <w:rFonts w:ascii="Arial" w:cs="Arial" w:eastAsia="Arial" w:hAnsi="Arial"/>
          <w:sz w:val="16"/>
          <w:szCs w:val="16"/>
          <w:color w:val="auto"/>
        </w:rPr>
      </w:pPr>
      <w:r>
        <w:rPr>
          <w:rFonts w:ascii="Arial" w:cs="Arial" w:eastAsia="Arial" w:hAnsi="Arial"/>
          <w:sz w:val="16"/>
          <w:szCs w:val="16"/>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and non-assessable.</w:t>
      </w:r>
    </w:p>
    <w:p>
      <w:pPr>
        <w:spacing w:after="0" w:line="166" w:lineRule="exact"/>
        <w:rPr>
          <w:rFonts w:ascii="Arial" w:cs="Arial" w:eastAsia="Arial" w:hAnsi="Arial"/>
          <w:sz w:val="16"/>
          <w:szCs w:val="16"/>
          <w:color w:val="auto"/>
        </w:rPr>
      </w:pPr>
    </w:p>
    <w:p>
      <w:pPr>
        <w:ind w:left="180" w:right="160" w:firstLine="359"/>
        <w:spacing w:after="0" w:line="283" w:lineRule="auto"/>
        <w:tabs>
          <w:tab w:leader="none" w:pos="864" w:val="left"/>
        </w:tabs>
        <w:numPr>
          <w:ilvl w:val="1"/>
          <w:numId w:val="58"/>
        </w:numPr>
        <w:rPr>
          <w:rFonts w:ascii="Arial" w:cs="Arial" w:eastAsia="Arial" w:hAnsi="Arial"/>
          <w:sz w:val="16"/>
          <w:szCs w:val="16"/>
          <w:color w:val="auto"/>
        </w:rPr>
      </w:pPr>
      <w:r>
        <w:rPr>
          <w:rFonts w:ascii="Arial" w:cs="Arial" w:eastAsia="Arial" w:hAnsi="Arial"/>
          <w:sz w:val="16"/>
          <w:szCs w:val="16"/>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w:t>
      </w:r>
    </w:p>
    <w:p>
      <w:pPr>
        <w:ind w:left="180" w:right="40" w:firstLine="8"/>
        <w:spacing w:after="0" w:line="281" w:lineRule="auto"/>
        <w:tabs>
          <w:tab w:leader="none" w:pos="4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w:t>
      </w:r>
    </w:p>
    <w:p>
      <w:pPr>
        <w:spacing w:after="0" w:line="1" w:lineRule="exact"/>
        <w:rPr>
          <w:rFonts w:ascii="Arial" w:cs="Arial" w:eastAsia="Arial" w:hAnsi="Arial"/>
          <w:sz w:val="16"/>
          <w:szCs w:val="16"/>
          <w:color w:val="auto"/>
        </w:rPr>
      </w:pPr>
    </w:p>
    <w:p>
      <w:pPr>
        <w:ind w:left="440" w:hanging="252"/>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left="180" w:right="100" w:firstLine="359"/>
        <w:spacing w:after="0" w:line="259" w:lineRule="auto"/>
        <w:tabs>
          <w:tab w:leader="none" w:pos="8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94" w:lineRule="exact"/>
        <w:rPr>
          <w:rFonts w:ascii="Arial" w:cs="Arial" w:eastAsia="Arial" w:hAnsi="Arial"/>
          <w:sz w:val="18"/>
          <w:szCs w:val="18"/>
          <w:color w:val="auto"/>
        </w:rPr>
      </w:pPr>
    </w:p>
    <w:p>
      <w:pPr>
        <w:ind w:left="180" w:right="40" w:firstLine="359"/>
        <w:spacing w:after="0" w:line="332" w:lineRule="auto"/>
        <w:tabs>
          <w:tab w:leader="none" w:pos="8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139" w:lineRule="exact"/>
        <w:rPr>
          <w:rFonts w:ascii="Arial" w:cs="Arial" w:eastAsia="Arial" w:hAnsi="Arial"/>
          <w:sz w:val="16"/>
          <w:szCs w:val="16"/>
          <w:color w:val="auto"/>
        </w:rPr>
      </w:pPr>
    </w:p>
    <w:p>
      <w:pPr>
        <w:jc w:val="both"/>
        <w:ind w:left="180" w:right="120" w:firstLine="359"/>
        <w:spacing w:after="0" w:line="298" w:lineRule="auto"/>
        <w:tabs>
          <w:tab w:leader="none" w:pos="8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166" w:lineRule="exact"/>
        <w:rPr>
          <w:rFonts w:ascii="Arial" w:cs="Arial" w:eastAsia="Arial" w:hAnsi="Arial"/>
          <w:sz w:val="16"/>
          <w:szCs w:val="16"/>
          <w:color w:val="auto"/>
        </w:rPr>
      </w:pPr>
    </w:p>
    <w:p>
      <w:pPr>
        <w:ind w:left="180" w:right="220" w:firstLine="359"/>
        <w:spacing w:after="0" w:line="256" w:lineRule="auto"/>
        <w:tabs>
          <w:tab w:leader="none" w:pos="8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128270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644" w:right="259" w:bottom="1440" w:gutter="0" w:footer="0" w:header="0"/>
        </w:sectPr>
      </w:pPr>
    </w:p>
    <w:bookmarkStart w:id="60" w:name="page61"/>
    <w:bookmarkEnd w:id="60"/>
    <w:p>
      <w:pPr>
        <w:ind w:left="8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886460</wp:posOffset>
            </wp:positionH>
            <wp:positionV relativeFrom="page">
              <wp:posOffset>363220</wp:posOffset>
            </wp:positionV>
            <wp:extent cx="48895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September 25, 2016 Page 3</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  This opinion is limited in all respects to U.S. federal laws, the laws of the State of New York, the Delaware LP Act and the DGCL.</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644" w:right="65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62" w:name="page63"/>
    <w:bookmarkEnd w:id="62"/>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300" w:firstLine="348"/>
        <w:spacing w:after="0" w:line="323" w:lineRule="auto"/>
        <w:rPr>
          <w:sz w:val="20"/>
          <w:szCs w:val="20"/>
          <w:color w:val="auto"/>
        </w:rPr>
      </w:pPr>
      <w:r>
        <w:rPr>
          <w:rFonts w:ascii="Arial" w:cs="Arial" w:eastAsia="Arial" w:hAnsi="Arial"/>
          <w:sz w:val="15"/>
          <w:szCs w:val="15"/>
          <w:color w:val="auto"/>
        </w:rPr>
        <w:t>We have acted as counsel to Plains All American Pipeline, L.P.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a Delaware limited partnership, and PAA Finance Corp. (</w:t>
      </w:r>
      <w:r>
        <w:rPr>
          <w:rFonts w:ascii="Arial" w:cs="Arial" w:eastAsia="Arial" w:hAnsi="Arial"/>
          <w:sz w:val="15"/>
          <w:szCs w:val="15"/>
          <w:b w:val="1"/>
          <w:bCs w:val="1"/>
          <w:i w:val="1"/>
          <w:iCs w:val="1"/>
          <w:color w:val="auto"/>
        </w:rPr>
        <w:t>"Finance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Corp.</w:t>
      </w:r>
      <w:r>
        <w:rPr>
          <w:rFonts w:ascii="Arial" w:cs="Arial" w:eastAsia="Arial" w:hAnsi="Arial"/>
          <w:sz w:val="15"/>
          <w:szCs w:val="15"/>
          <w:color w:val="auto"/>
        </w:rPr>
        <w:t>"), a Delaware corporation, with respect to certain legal matters in connection with the preparation of a Prospectus dated on or about the date hereof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forming part of the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respecting the offer from time to time, pursuant to Rule 415 of the Securities Act, of:</w:t>
      </w:r>
    </w:p>
    <w:p>
      <w:pPr>
        <w:spacing w:after="0" w:line="152" w:lineRule="exact"/>
        <w:rPr>
          <w:sz w:val="20"/>
          <w:szCs w:val="20"/>
          <w:color w:val="auto"/>
        </w:rPr>
      </w:pPr>
    </w:p>
    <w:p>
      <w:pPr>
        <w:ind w:left="1240" w:hanging="34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securities, which may be co-issued by Finance Corp., consisting of senior debt securities or subordinated debt securities.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In addition, this opinion is based upon the factual representations of the Partnership concerning its business, properties and governing documents as set forth in the Registration Statement.</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902970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115570</wp:posOffset>
            </wp:positionV>
            <wp:extent cx="5866130" cy="4718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66130" cy="47180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3" w:name="page64"/>
    <w:bookmarkEnd w:id="63"/>
    <w:p>
      <w:pPr>
        <w:ind w:right="180" w:firstLine="35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8895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No opinion is expressed as to any matter not discussed in the Prospectus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70"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Prospectus and to the use of our name under the captions "Material U.S. Federal Income Tax Consequences" and "Legal Matters" in the Registration Statement. By giving this consent, we do not admit that we are within the category of persons whose consent is required under Section 7 of the Securities Act and the rules and regulations thereunder.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65" w:name="page66"/>
    <w:bookmarkEnd w:id="6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CONSENT OF INDEPENDENT REGISTERED PUBLIC ACCOUNTING FIRM</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24, 2015 relating to the financial statements, and the effectiveness of internal control over financial reporting, which appears in Plains All American Pipeline, L.P.'s Annual Report on Form 10-K for the year ended December 31, 2014.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2015</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FORM OF 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67" w:name="page68"/>
    <w:bookmarkEnd w:id="67"/>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1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91"/>
              </w:rPr>
              <w:t>800 Nicollet Mall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Minneapolis, Minnesota</w:t>
            </w:r>
          </w:p>
        </w:tc>
        <w:tc>
          <w:tcPr>
            <w:tcW w:w="15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55402</w:t>
            </w:r>
          </w:p>
        </w:tc>
        <w:tc>
          <w:tcPr>
            <w:tcW w:w="0" w:type="dxa"/>
            <w:vAlign w:val="bottom"/>
          </w:tcPr>
          <w:p>
            <w:pPr>
              <w:spacing w:after="0"/>
              <w:rPr>
                <w:sz w:val="1"/>
                <w:szCs w:val="1"/>
                <w:color w:val="auto"/>
              </w:rPr>
            </w:pPr>
          </w:p>
        </w:tc>
      </w:t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color w:val="auto"/>
                <w:w w:val="89"/>
              </w:rPr>
              <w:t>(Address of principal executive</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712"/>
              <w:spacing w:after="0"/>
              <w:rPr>
                <w:sz w:val="20"/>
                <w:szCs w:val="20"/>
                <w:color w:val="auto"/>
              </w:rPr>
            </w:pPr>
            <w:r>
              <w:rPr>
                <w:rFonts w:ascii="Arial" w:cs="Arial" w:eastAsia="Arial" w:hAnsi="Arial"/>
                <w:sz w:val="18"/>
                <w:szCs w:val="18"/>
                <w:color w:val="auto"/>
                <w:w w:val="92"/>
              </w:rPr>
              <w:t>offices)</w:t>
            </w:r>
          </w:p>
        </w:tc>
        <w:tc>
          <w:tcPr>
            <w:tcW w:w="1540" w:type="dxa"/>
            <w:vAlign w:val="bottom"/>
          </w:tcPr>
          <w:p>
            <w:pPr>
              <w:jc w:val="center"/>
              <w:ind w:left="6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Shazia Flores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5555 San Felipe, Suite 1150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235-9209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76-0582150</w:t>
            </w:r>
          </w:p>
        </w:tc>
        <w:tc>
          <w:tcPr>
            <w:tcW w:w="0" w:type="dxa"/>
            <w:vAlign w:val="bottom"/>
          </w:tcPr>
          <w:p>
            <w:pPr>
              <w:spacing w:after="0"/>
              <w:rPr>
                <w:sz w:val="1"/>
                <w:szCs w:val="1"/>
                <w:color w:val="auto"/>
              </w:rPr>
            </w:pPr>
          </w:p>
        </w:tc>
      </w:tr>
      <w:tr>
        <w:trPr>
          <w:trHeight w:val="222"/>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56-2464313</w:t>
            </w:r>
          </w:p>
        </w:tc>
        <w:tc>
          <w:tcPr>
            <w:tcW w:w="0" w:type="dxa"/>
            <w:vAlign w:val="bottom"/>
          </w:tcPr>
          <w:p>
            <w:pPr>
              <w:spacing w:after="0"/>
              <w:rPr>
                <w:sz w:val="1"/>
                <w:szCs w:val="1"/>
                <w:color w:val="auto"/>
              </w:rPr>
            </w:pPr>
          </w:p>
        </w:tc>
      </w:tr>
      <w:tr>
        <w:trPr>
          <w:trHeight w:val="216"/>
        </w:trPr>
        <w:tc>
          <w:tcPr>
            <w:tcW w:w="3540" w:type="dxa"/>
            <w:vAlign w:val="bottom"/>
          </w:tcPr>
          <w:p>
            <w:pPr>
              <w:jc w:val="center"/>
              <w:ind w:right="1204"/>
              <w:spacing w:after="0"/>
              <w:rPr>
                <w:sz w:val="20"/>
                <w:szCs w:val="20"/>
                <w:color w:val="auto"/>
              </w:rPr>
            </w:pPr>
            <w:r>
              <w:rPr>
                <w:rFonts w:ascii="Arial" w:cs="Arial" w:eastAsia="Arial" w:hAnsi="Arial"/>
                <w:sz w:val="18"/>
                <w:szCs w:val="18"/>
                <w:color w:val="auto"/>
                <w:w w:val="90"/>
              </w:rPr>
              <w:t>(State or other jurisdiction of</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3540" w:type="dxa"/>
            <w:vAlign w:val="bottom"/>
          </w:tcPr>
          <w:p>
            <w:pPr>
              <w:jc w:val="center"/>
              <w:ind w:right="1204"/>
              <w:spacing w:after="0"/>
              <w:rPr>
                <w:sz w:val="20"/>
                <w:szCs w:val="20"/>
                <w:color w:val="auto"/>
              </w:rPr>
            </w:pPr>
            <w:r>
              <w:rPr>
                <w:rFonts w:ascii="Arial" w:cs="Arial" w:eastAsia="Arial" w:hAnsi="Arial"/>
                <w:sz w:val="18"/>
                <w:szCs w:val="18"/>
                <w:color w:val="auto"/>
                <w:w w:val="90"/>
              </w:rPr>
              <w:t>incorporation or organization)</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879"/>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8"/>
              </w:rPr>
              <w:t>333 Clay Street, Suite 1600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5"/>
              </w:rPr>
              <w:t>Houston, Texas 77002</w:t>
            </w: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77002</w:t>
            </w:r>
          </w:p>
        </w:tc>
        <w:tc>
          <w:tcPr>
            <w:tcW w:w="0" w:type="dxa"/>
            <w:vAlign w:val="bottom"/>
          </w:tcPr>
          <w:p>
            <w:pPr>
              <w:spacing w:after="0"/>
              <w:rPr>
                <w:sz w:val="1"/>
                <w:szCs w:val="1"/>
                <w:color w:val="auto"/>
              </w:rPr>
            </w:pPr>
          </w:p>
        </w:tc>
      </w:tr>
      <w:tr>
        <w:trPr>
          <w:trHeight w:val="216"/>
        </w:trPr>
        <w:tc>
          <w:tcPr>
            <w:tcW w:w="3540" w:type="dxa"/>
            <w:vAlign w:val="bottom"/>
          </w:tcPr>
          <w:p>
            <w:pPr>
              <w:jc w:val="center"/>
              <w:ind w:right="1204"/>
              <w:spacing w:after="0"/>
              <w:rPr>
                <w:sz w:val="20"/>
                <w:szCs w:val="20"/>
                <w:color w:val="auto"/>
              </w:rPr>
            </w:pPr>
            <w:r>
              <w:rPr>
                <w:rFonts w:ascii="Arial" w:cs="Arial" w:eastAsia="Arial" w:hAnsi="Arial"/>
                <w:sz w:val="18"/>
                <w:szCs w:val="18"/>
                <w:color w:val="auto"/>
                <w:w w:val="89"/>
              </w:rPr>
              <w:t>(Address of Principal Executive</w:t>
            </w: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tcPr>
          <w:p>
            <w:pPr>
              <w:jc w:val="center"/>
              <w:ind w:right="1224"/>
              <w:spacing w:after="0"/>
              <w:rPr>
                <w:sz w:val="20"/>
                <w:szCs w:val="20"/>
                <w:color w:val="auto"/>
              </w:rPr>
            </w:pPr>
            <w:r>
              <w:rPr>
                <w:rFonts w:ascii="Arial" w:cs="Arial" w:eastAsia="Arial" w:hAnsi="Arial"/>
                <w:sz w:val="18"/>
                <w:szCs w:val="18"/>
                <w:color w:val="auto"/>
                <w:w w:val="93"/>
              </w:rPr>
              <w:t>Offices)</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588"/>
        </w:trPr>
        <w:tc>
          <w:tcPr>
            <w:tcW w:w="3540" w:type="dxa"/>
            <w:vAlign w:val="bottom"/>
          </w:tcPr>
          <w:p>
            <w:pPr>
              <w:ind w:left="1860"/>
              <w:spacing w:after="0"/>
              <w:rPr>
                <w:sz w:val="20"/>
                <w:szCs w:val="20"/>
                <w:color w:val="auto"/>
              </w:rPr>
            </w:pPr>
            <w:r>
              <w:rPr>
                <w:rFonts w:ascii="Arial" w:cs="Arial" w:eastAsia="Arial" w:hAnsi="Arial"/>
                <w:sz w:val="32"/>
                <w:szCs w:val="32"/>
                <w:b w:val="1"/>
                <w:bCs w:val="1"/>
                <w:color w:val="auto"/>
                <w:w w:val="92"/>
              </w:rPr>
              <w:t>Senior Debt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FORM T-1</w:t>
      </w:r>
    </w:p>
    <w:p>
      <w:pPr>
        <w:spacing w:after="0" w:line="225" w:lineRule="exact"/>
        <w:rPr>
          <w:sz w:val="20"/>
          <w:szCs w:val="20"/>
          <w:color w:val="auto"/>
        </w:rPr>
      </w:pPr>
    </w:p>
    <w:p>
      <w:pPr>
        <w:spacing w:after="0"/>
        <w:tabs>
          <w:tab w:leader="none" w:pos="700" w:val="left"/>
          <w:tab w:leader="none" w:pos="3120" w:val="left"/>
        </w:tabs>
        <w:rPr>
          <w:sz w:val="20"/>
          <w:szCs w:val="20"/>
          <w:color w:val="auto"/>
        </w:rPr>
      </w:pPr>
      <w:r>
        <w:rPr>
          <w:rFonts w:ascii="Arial" w:cs="Arial" w:eastAsia="Arial" w:hAnsi="Arial"/>
          <w:sz w:val="18"/>
          <w:szCs w:val="18"/>
          <w:b w:val="1"/>
          <w:bCs w:val="1"/>
          <w:color w:val="auto"/>
        </w:rPr>
        <w:t>Item 1.</w:t>
        <w:tab/>
        <w:t>GENERAL INFORMATION.</w:t>
      </w:r>
      <w:r>
        <w:rPr>
          <w:sz w:val="20"/>
          <w:szCs w:val="20"/>
          <w:color w:val="auto"/>
        </w:rPr>
        <w:tab/>
      </w:r>
      <w:r>
        <w:rPr>
          <w:rFonts w:ascii="Arial" w:cs="Arial" w:eastAsia="Arial" w:hAnsi="Arial"/>
          <w:sz w:val="16"/>
          <w:szCs w:val="16"/>
          <w:color w:val="auto"/>
        </w:rPr>
        <w:t>Furnish the following information as to the Trustee.</w:t>
      </w:r>
    </w:p>
    <w:p>
      <w:pPr>
        <w:spacing w:after="0" w:line="245"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Washington, D.C.</w:t>
      </w:r>
    </w:p>
    <w:p>
      <w:pPr>
        <w:spacing w:after="0" w:line="246" w:lineRule="exact"/>
        <w:rPr>
          <w:sz w:val="20"/>
          <w:szCs w:val="20"/>
          <w:color w:val="auto"/>
        </w:rPr>
      </w:pPr>
    </w:p>
    <w:p>
      <w:pPr>
        <w:ind w:left="1620" w:right="6040" w:hanging="1072"/>
        <w:spacing w:after="0" w:line="49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680" w:val="left"/>
          <w:tab w:leader="none" w:pos="3580" w:val="left"/>
        </w:tabs>
        <w:rPr>
          <w:sz w:val="20"/>
          <w:szCs w:val="20"/>
          <w:color w:val="auto"/>
        </w:rPr>
      </w:pPr>
      <w:r>
        <w:rPr>
          <w:rFonts w:ascii="Arial" w:cs="Arial" w:eastAsia="Arial" w:hAnsi="Arial"/>
          <w:sz w:val="18"/>
          <w:szCs w:val="18"/>
          <w:b w:val="1"/>
          <w:bCs w:val="1"/>
          <w:color w:val="auto"/>
        </w:rPr>
        <w:t>Item 2.</w:t>
        <w:tab/>
        <w:t>AFFILIATIONS WITH OBLIGOR.</w:t>
      </w:r>
      <w:r>
        <w:rPr>
          <w:sz w:val="20"/>
          <w:szCs w:val="20"/>
          <w:color w:val="auto"/>
        </w:rPr>
        <w:tab/>
      </w:r>
      <w:r>
        <w:rPr>
          <w:rFonts w:ascii="Arial" w:cs="Arial" w:eastAsia="Arial" w:hAnsi="Arial"/>
          <w:sz w:val="16"/>
          <w:szCs w:val="16"/>
          <w:i w:val="1"/>
          <w:iCs w:val="1"/>
          <w:color w:val="auto"/>
        </w:rPr>
        <w:t>If the obligor is an affiliate of the Trustee, describe each such affiliation.</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acts as Trustee.</w:t>
      </w:r>
    </w:p>
    <w:p>
      <w:pPr>
        <w:spacing w:after="0" w:line="174" w:lineRule="exact"/>
        <w:rPr>
          <w:sz w:val="20"/>
          <w:szCs w:val="20"/>
          <w:color w:val="auto"/>
        </w:rPr>
      </w:pPr>
    </w:p>
    <w:p>
      <w:pPr>
        <w:spacing w:after="0"/>
        <w:tabs>
          <w:tab w:leader="none" w:pos="780" w:val="left"/>
          <w:tab w:leader="none" w:pos="2600" w:val="left"/>
        </w:tabs>
        <w:rPr>
          <w:sz w:val="20"/>
          <w:szCs w:val="20"/>
          <w:color w:val="auto"/>
        </w:rPr>
      </w:pPr>
      <w:r>
        <w:rPr>
          <w:rFonts w:ascii="Arial" w:cs="Arial" w:eastAsia="Arial" w:hAnsi="Arial"/>
          <w:sz w:val="18"/>
          <w:szCs w:val="18"/>
          <w:b w:val="1"/>
          <w:bCs w:val="1"/>
          <w:color w:val="auto"/>
        </w:rPr>
        <w:t>Item 16.</w:t>
        <w:tab/>
        <w:t>LIST OF EXHIBITS:</w:t>
      </w:r>
      <w:r>
        <w:rPr>
          <w:sz w:val="20"/>
          <w:szCs w:val="20"/>
          <w:color w:val="auto"/>
        </w:rPr>
        <w:tab/>
      </w:r>
      <w:r>
        <w:rPr>
          <w:rFonts w:ascii="Arial" w:cs="Arial" w:eastAsia="Arial" w:hAnsi="Arial"/>
          <w:sz w:val="16"/>
          <w:szCs w:val="16"/>
          <w:i w:val="1"/>
          <w:iCs w:val="1"/>
          <w:color w:val="auto"/>
        </w:rPr>
        <w:t>List below all exhibits filed as a part of this statement of eligibility and qualification.</w:t>
      </w:r>
    </w:p>
    <w:p>
      <w:pPr>
        <w:spacing w:after="0" w:line="245" w:lineRule="exact"/>
        <w:rPr>
          <w:sz w:val="20"/>
          <w:szCs w:val="20"/>
          <w:color w:val="auto"/>
        </w:rPr>
      </w:pPr>
    </w:p>
    <w:p>
      <w:pPr>
        <w:ind w:left="1080" w:hanging="532"/>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2015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40" w:hanging="540"/>
        <w:spacing w:after="0" w:line="26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226" w:lineRule="exact"/>
        <w:rPr>
          <w:rFonts w:ascii="Arial" w:cs="Arial" w:eastAsia="Arial" w:hAnsi="Arial"/>
          <w:sz w:val="18"/>
          <w:szCs w:val="18"/>
          <w:color w:val="auto"/>
        </w:rPr>
      </w:pPr>
    </w:p>
    <w:p>
      <w:pPr>
        <w:ind w:left="540" w:hanging="532"/>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1903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313"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September, 2015.</w:t>
      </w:r>
    </w:p>
    <w:p>
      <w:pPr>
        <w:spacing w:after="0" w:line="35" w:lineRule="exact"/>
        <w:rPr>
          <w:sz w:val="20"/>
          <w:szCs w:val="20"/>
          <w:color w:val="auto"/>
        </w:rPr>
      </w:pPr>
    </w:p>
    <w:p>
      <w:pPr>
        <w:ind w:left="5680"/>
        <w:spacing w:after="0"/>
        <w:tabs>
          <w:tab w:leader="none" w:pos="6160" w:val="left"/>
        </w:tabs>
        <w:rPr>
          <w:sz w:val="20"/>
          <w:szCs w:val="20"/>
          <w:color w:val="auto"/>
        </w:rPr>
      </w:pPr>
      <w:r>
        <w:rPr>
          <w:rFonts w:ascii="Arial" w:cs="Arial" w:eastAsia="Arial" w:hAnsi="Arial"/>
          <w:sz w:val="18"/>
          <w:szCs w:val="18"/>
          <w:color w:val="auto"/>
        </w:rPr>
        <w:t>By:</w:t>
        <w:tab/>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6"/>
          <w:szCs w:val="16"/>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71" w:name="page72"/>
    <w:bookmarkEnd w:id="71"/>
    <w:p>
      <w:pPr>
        <w:jc w:val="center"/>
        <w:ind w:right="39"/>
        <w:spacing w:after="0"/>
        <w:rPr>
          <w:sz w:val="20"/>
          <w:szCs w:val="20"/>
          <w:color w:val="auto"/>
        </w:rPr>
      </w:pPr>
      <w:r>
        <w:rPr>
          <w:rFonts w:ascii="Arial" w:cs="Arial" w:eastAsia="Arial" w:hAnsi="Arial"/>
          <w:sz w:val="16"/>
          <w:szCs w:val="16"/>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2015</w:t>
      </w:r>
    </w:p>
    <w:p>
      <w:pPr>
        <w:spacing w:after="0" w:line="22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6/30/2015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($000's)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17,896,807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102,874,924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252,013,047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4,310,148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13,076,832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23,776,797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Liabilities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307,828,983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1,465,991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885,507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46,539,645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11,984,151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372,354,277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Equity</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Surplus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14,266,400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41,647,970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Equity Capital</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FORM T-1</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 GENERAL INFORMATION. Furnish the following information as to the Trustee.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 AFFILIATIONS WITH OBLIGOR. If the obligor is an affiliate of the Trustee, describe each such affiliation.</w:t>
        </w:r>
      </w:hyperlink>
    </w:p>
    <w:p>
      <w:pPr>
        <w:spacing w:after="0" w:line="9" w:lineRule="exact"/>
        <w:rPr>
          <w:sz w:val="20"/>
          <w:szCs w:val="20"/>
          <w:color w:val="auto"/>
        </w:rPr>
      </w:pPr>
    </w:p>
    <w:p>
      <w:pPr>
        <w:ind w:left="540"/>
        <w:spacing w:after="0" w:line="250"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Items 3-15 Items 3-15 are not applicable because to the best of the Trustee's knowledge, the obligor is not in default under any Indenture for which the</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Trustee acts as Trustee.</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16. LIST OF EXHIBITS: List below all exhibits filed as a part of this statement of eligibility and qualification.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3</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6 CONSENT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 7</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U.S. Bank National Association Statement of Financial Condition As of 6/30/2015 ($000's)</w:t>
        </w:r>
      </w:hyperlink>
    </w:p>
    <w:p>
      <w:pPr>
        <w:sectPr>
          <w:pgSz w:w="11900" w:h="16838" w:orient="portrait"/>
          <w:cols w:equalWidth="0" w:num="1">
            <w:col w:w="11120"/>
          </w:cols>
          <w:pgMar w:left="240" w:top="820" w:right="539" w:bottom="1440" w:gutter="0" w:footer="0" w:header="0"/>
        </w:sectPr>
      </w:pPr>
    </w:p>
    <w:bookmarkStart w:id="75" w:name="page76"/>
    <w:bookmarkEnd w:id="75"/>
    <w:p>
      <w:pPr>
        <w:spacing w:after="0"/>
        <w:rPr>
          <w:rFonts w:ascii="Arial" w:cs="Arial" w:eastAsia="Arial" w:hAnsi="Arial"/>
          <w:sz w:val="22"/>
          <w:szCs w:val="22"/>
          <w:color w:val="0000EE"/>
        </w:rPr>
      </w:pPr>
      <w:hyperlink w:anchor="page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1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91"/>
              </w:rPr>
              <w:t>800 Nicollet Mall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Minneapolis, Minnesota</w:t>
            </w:r>
          </w:p>
        </w:tc>
        <w:tc>
          <w:tcPr>
            <w:tcW w:w="15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55402</w:t>
            </w:r>
          </w:p>
        </w:tc>
        <w:tc>
          <w:tcPr>
            <w:tcW w:w="0" w:type="dxa"/>
            <w:vAlign w:val="bottom"/>
          </w:tcPr>
          <w:p>
            <w:pPr>
              <w:spacing w:after="0"/>
              <w:rPr>
                <w:sz w:val="1"/>
                <w:szCs w:val="1"/>
                <w:color w:val="auto"/>
              </w:rPr>
            </w:pPr>
          </w:p>
        </w:tc>
      </w:t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color w:val="auto"/>
                <w:w w:val="89"/>
              </w:rPr>
              <w:t>(Address of principal executive</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712"/>
              <w:spacing w:after="0"/>
              <w:rPr>
                <w:sz w:val="20"/>
                <w:szCs w:val="20"/>
                <w:color w:val="auto"/>
              </w:rPr>
            </w:pPr>
            <w:r>
              <w:rPr>
                <w:rFonts w:ascii="Arial" w:cs="Arial" w:eastAsia="Arial" w:hAnsi="Arial"/>
                <w:sz w:val="18"/>
                <w:szCs w:val="18"/>
                <w:color w:val="auto"/>
                <w:w w:val="92"/>
              </w:rPr>
              <w:t>offices)</w:t>
            </w:r>
          </w:p>
        </w:tc>
        <w:tc>
          <w:tcPr>
            <w:tcW w:w="1540" w:type="dxa"/>
            <w:vAlign w:val="bottom"/>
          </w:tcPr>
          <w:p>
            <w:pPr>
              <w:jc w:val="center"/>
              <w:ind w:left="6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Shazia Flores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5555 San Felipe, Suite 1150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235-9209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76-0582150</w:t>
            </w:r>
          </w:p>
        </w:tc>
        <w:tc>
          <w:tcPr>
            <w:tcW w:w="0" w:type="dxa"/>
            <w:vAlign w:val="bottom"/>
          </w:tcPr>
          <w:p>
            <w:pPr>
              <w:spacing w:after="0"/>
              <w:rPr>
                <w:sz w:val="1"/>
                <w:szCs w:val="1"/>
                <w:color w:val="auto"/>
              </w:rPr>
            </w:pPr>
          </w:p>
        </w:tc>
      </w:tr>
      <w:tr>
        <w:trPr>
          <w:trHeight w:val="222"/>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56-2464313</w:t>
            </w:r>
          </w:p>
        </w:tc>
        <w:tc>
          <w:tcPr>
            <w:tcW w:w="0" w:type="dxa"/>
            <w:vAlign w:val="bottom"/>
          </w:tcPr>
          <w:p>
            <w:pPr>
              <w:spacing w:after="0"/>
              <w:rPr>
                <w:sz w:val="1"/>
                <w:szCs w:val="1"/>
                <w:color w:val="auto"/>
              </w:rPr>
            </w:pPr>
          </w:p>
        </w:tc>
      </w:tr>
      <w:tr>
        <w:trPr>
          <w:trHeight w:val="216"/>
        </w:trPr>
        <w:tc>
          <w:tcPr>
            <w:tcW w:w="2900" w:type="dxa"/>
            <w:vAlign w:val="bottom"/>
          </w:tcPr>
          <w:p>
            <w:pPr>
              <w:jc w:val="center"/>
              <w:ind w:right="572"/>
              <w:spacing w:after="0"/>
              <w:rPr>
                <w:sz w:val="20"/>
                <w:szCs w:val="20"/>
                <w:color w:val="auto"/>
              </w:rPr>
            </w:pPr>
            <w:r>
              <w:rPr>
                <w:rFonts w:ascii="Arial" w:cs="Arial" w:eastAsia="Arial" w:hAnsi="Arial"/>
                <w:sz w:val="18"/>
                <w:szCs w:val="18"/>
                <w:color w:val="auto"/>
                <w:w w:val="90"/>
              </w:rPr>
              <w:t>(State or other jurisdiction of</w:t>
            </w:r>
          </w:p>
        </w:tc>
        <w:tc>
          <w:tcPr>
            <w:tcW w:w="1980" w:type="dxa"/>
            <w:vAlign w:val="bottom"/>
          </w:tcPr>
          <w:p>
            <w:pPr>
              <w:jc w:val="center"/>
              <w:ind w:left="61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900" w:type="dxa"/>
            <w:vAlign w:val="bottom"/>
          </w:tcPr>
          <w:p>
            <w:pPr>
              <w:jc w:val="center"/>
              <w:ind w:right="572"/>
              <w:spacing w:after="0"/>
              <w:rPr>
                <w:sz w:val="20"/>
                <w:szCs w:val="20"/>
                <w:color w:val="auto"/>
              </w:rPr>
            </w:pPr>
            <w:r>
              <w:rPr>
                <w:rFonts w:ascii="Arial" w:cs="Arial" w:eastAsia="Arial" w:hAnsi="Arial"/>
                <w:sz w:val="18"/>
                <w:szCs w:val="18"/>
                <w:color w:val="auto"/>
                <w:w w:val="90"/>
              </w:rPr>
              <w:t>incorporation or organization)</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879"/>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333 Clay Street, Suite 1600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5"/>
              </w:rPr>
              <w:t>Houston, Texas 77002</w:t>
            </w:r>
          </w:p>
        </w:tc>
        <w:tc>
          <w:tcPr>
            <w:tcW w:w="1980" w:type="dxa"/>
            <w:vAlign w:val="bottom"/>
            <w:vMerge w:val="restart"/>
          </w:tcPr>
          <w:p>
            <w:pPr>
              <w:jc w:val="center"/>
              <w:ind w:left="612"/>
              <w:spacing w:after="0"/>
              <w:rPr>
                <w:sz w:val="20"/>
                <w:szCs w:val="20"/>
                <w:color w:val="auto"/>
              </w:rPr>
            </w:pPr>
            <w:r>
              <w:rPr>
                <w:rFonts w:ascii="Arial" w:cs="Arial" w:eastAsia="Arial" w:hAnsi="Arial"/>
                <w:sz w:val="18"/>
                <w:szCs w:val="18"/>
                <w:b w:val="1"/>
                <w:bCs w:val="1"/>
                <w:color w:val="auto"/>
                <w:w w:val="87"/>
              </w:rPr>
              <w:t>77002</w:t>
            </w:r>
          </w:p>
        </w:tc>
        <w:tc>
          <w:tcPr>
            <w:tcW w:w="0" w:type="dxa"/>
            <w:vAlign w:val="bottom"/>
          </w:tcPr>
          <w:p>
            <w:pPr>
              <w:spacing w:after="0"/>
              <w:rPr>
                <w:sz w:val="1"/>
                <w:szCs w:val="1"/>
                <w:color w:val="auto"/>
              </w:rPr>
            </w:pPr>
          </w:p>
        </w:tc>
      </w:tr>
      <w:tr>
        <w:trPr>
          <w:trHeight w:val="216"/>
        </w:trPr>
        <w:tc>
          <w:tcPr>
            <w:tcW w:w="2900" w:type="dxa"/>
            <w:vAlign w:val="bottom"/>
          </w:tcPr>
          <w:p>
            <w:pPr>
              <w:jc w:val="center"/>
              <w:ind w:right="572"/>
              <w:spacing w:after="0"/>
              <w:rPr>
                <w:sz w:val="20"/>
                <w:szCs w:val="20"/>
                <w:color w:val="auto"/>
              </w:rPr>
            </w:pPr>
            <w:r>
              <w:rPr>
                <w:rFonts w:ascii="Arial" w:cs="Arial" w:eastAsia="Arial" w:hAnsi="Arial"/>
                <w:sz w:val="18"/>
                <w:szCs w:val="18"/>
                <w:color w:val="auto"/>
                <w:w w:val="89"/>
              </w:rPr>
              <w:t>(Address of Principal Executive</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jc w:val="center"/>
              <w:ind w:right="592"/>
              <w:spacing w:after="0"/>
              <w:rPr>
                <w:sz w:val="20"/>
                <w:szCs w:val="20"/>
                <w:color w:val="auto"/>
              </w:rPr>
            </w:pPr>
            <w:r>
              <w:rPr>
                <w:rFonts w:ascii="Arial" w:cs="Arial" w:eastAsia="Arial" w:hAnsi="Arial"/>
                <w:sz w:val="18"/>
                <w:szCs w:val="18"/>
                <w:color w:val="auto"/>
                <w:w w:val="93"/>
              </w:rPr>
              <w:t>Offices)</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Subordinated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FORM T-1</w:t>
      </w:r>
    </w:p>
    <w:p>
      <w:pPr>
        <w:spacing w:after="0" w:line="225" w:lineRule="exact"/>
        <w:rPr>
          <w:sz w:val="20"/>
          <w:szCs w:val="20"/>
          <w:color w:val="auto"/>
        </w:rPr>
      </w:pPr>
    </w:p>
    <w:p>
      <w:pPr>
        <w:spacing w:after="0"/>
        <w:tabs>
          <w:tab w:leader="none" w:pos="700" w:val="left"/>
          <w:tab w:leader="none" w:pos="3160" w:val="left"/>
        </w:tabs>
        <w:rPr>
          <w:sz w:val="20"/>
          <w:szCs w:val="20"/>
          <w:color w:val="auto"/>
        </w:rPr>
      </w:pPr>
      <w:r>
        <w:rPr>
          <w:rFonts w:ascii="Arial" w:cs="Arial" w:eastAsia="Arial" w:hAnsi="Arial"/>
          <w:sz w:val="18"/>
          <w:szCs w:val="18"/>
          <w:b w:val="1"/>
          <w:bCs w:val="1"/>
          <w:color w:val="auto"/>
        </w:rPr>
        <w:t>Item 1.</w:t>
        <w:tab/>
        <w:t>GENERAL INFORMATION.</w:t>
      </w:r>
      <w:r>
        <w:rPr>
          <w:sz w:val="20"/>
          <w:szCs w:val="20"/>
          <w:color w:val="auto"/>
        </w:rPr>
        <w:tab/>
      </w:r>
      <w:r>
        <w:rPr>
          <w:rFonts w:ascii="Arial" w:cs="Arial" w:eastAsia="Arial" w:hAnsi="Arial"/>
          <w:sz w:val="16"/>
          <w:szCs w:val="16"/>
          <w:color w:val="auto"/>
        </w:rPr>
        <w:t>Furnish the following information as to the Trustee.</w:t>
      </w:r>
    </w:p>
    <w:p>
      <w:pPr>
        <w:spacing w:after="0" w:line="245"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Washington, D.C.</w:t>
      </w:r>
    </w:p>
    <w:p>
      <w:pPr>
        <w:spacing w:after="0" w:line="246" w:lineRule="exact"/>
        <w:rPr>
          <w:sz w:val="20"/>
          <w:szCs w:val="20"/>
          <w:color w:val="auto"/>
        </w:rPr>
      </w:pPr>
    </w:p>
    <w:p>
      <w:pPr>
        <w:ind w:left="1620" w:right="6040" w:hanging="1072"/>
        <w:spacing w:after="0" w:line="49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680" w:val="left"/>
          <w:tab w:leader="none" w:pos="3580" w:val="left"/>
        </w:tabs>
        <w:rPr>
          <w:sz w:val="20"/>
          <w:szCs w:val="20"/>
          <w:color w:val="auto"/>
        </w:rPr>
      </w:pPr>
      <w:r>
        <w:rPr>
          <w:rFonts w:ascii="Arial" w:cs="Arial" w:eastAsia="Arial" w:hAnsi="Arial"/>
          <w:sz w:val="18"/>
          <w:szCs w:val="18"/>
          <w:b w:val="1"/>
          <w:bCs w:val="1"/>
          <w:color w:val="auto"/>
        </w:rPr>
        <w:t>Item 2.</w:t>
        <w:tab/>
        <w:t>AFFILIATIONS WITH OBLIGOR.</w:t>
      </w:r>
      <w:r>
        <w:rPr>
          <w:sz w:val="20"/>
          <w:szCs w:val="20"/>
          <w:color w:val="auto"/>
        </w:rPr>
        <w:tab/>
      </w:r>
      <w:r>
        <w:rPr>
          <w:rFonts w:ascii="Arial" w:cs="Arial" w:eastAsia="Arial" w:hAnsi="Arial"/>
          <w:sz w:val="16"/>
          <w:szCs w:val="16"/>
          <w:i w:val="1"/>
          <w:iCs w:val="1"/>
          <w:color w:val="auto"/>
        </w:rPr>
        <w:t>If the obligor is an affiliate of the Trustee, describe each such affiliation.</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acts as Trustee.</w:t>
      </w:r>
    </w:p>
    <w:p>
      <w:pPr>
        <w:spacing w:after="0" w:line="174" w:lineRule="exact"/>
        <w:rPr>
          <w:sz w:val="20"/>
          <w:szCs w:val="20"/>
          <w:color w:val="auto"/>
        </w:rPr>
      </w:pPr>
    </w:p>
    <w:p>
      <w:pPr>
        <w:spacing w:after="0"/>
        <w:tabs>
          <w:tab w:leader="none" w:pos="780" w:val="left"/>
          <w:tab w:leader="none" w:pos="2600" w:val="left"/>
        </w:tabs>
        <w:rPr>
          <w:sz w:val="20"/>
          <w:szCs w:val="20"/>
          <w:color w:val="auto"/>
        </w:rPr>
      </w:pPr>
      <w:r>
        <w:rPr>
          <w:rFonts w:ascii="Arial" w:cs="Arial" w:eastAsia="Arial" w:hAnsi="Arial"/>
          <w:sz w:val="18"/>
          <w:szCs w:val="18"/>
          <w:b w:val="1"/>
          <w:bCs w:val="1"/>
          <w:color w:val="auto"/>
        </w:rPr>
        <w:t>Item 16.</w:t>
        <w:tab/>
        <w:t>LIST OF EXHIBITS:</w:t>
      </w:r>
      <w:r>
        <w:rPr>
          <w:sz w:val="20"/>
          <w:szCs w:val="20"/>
          <w:color w:val="auto"/>
        </w:rPr>
        <w:tab/>
      </w:r>
      <w:r>
        <w:rPr>
          <w:rFonts w:ascii="Arial" w:cs="Arial" w:eastAsia="Arial" w:hAnsi="Arial"/>
          <w:sz w:val="16"/>
          <w:szCs w:val="16"/>
          <w:i w:val="1"/>
          <w:iCs w:val="1"/>
          <w:color w:val="auto"/>
        </w:rPr>
        <w:t>List below all exhibits filed as a part of this statement of eligibility and qualification.</w:t>
      </w:r>
    </w:p>
    <w:p>
      <w:pPr>
        <w:spacing w:after="0" w:line="245" w:lineRule="exact"/>
        <w:rPr>
          <w:sz w:val="20"/>
          <w:szCs w:val="20"/>
          <w:color w:val="auto"/>
        </w:rPr>
      </w:pPr>
    </w:p>
    <w:p>
      <w:pPr>
        <w:ind w:left="1080" w:hanging="532"/>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2015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40" w:hanging="540"/>
        <w:spacing w:after="0" w:line="26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226"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19037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7" w:name="page78"/>
    <w:bookmarkEnd w:id="77"/>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313"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September, 2015.</w:t>
      </w:r>
    </w:p>
    <w:p>
      <w:pPr>
        <w:spacing w:after="0" w:line="3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6"/>
          <w:szCs w:val="16"/>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16"/>
          <w:szCs w:val="16"/>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2015</w:t>
      </w:r>
    </w:p>
    <w:p>
      <w:pPr>
        <w:spacing w:after="0" w:line="22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6/30/2015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($000's)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17,896,807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102,874,924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252,013,047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4,310,148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13,076,832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23,776,797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Liabilities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307,828,983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1,465,991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885,507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46,539,645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11,984,151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372,354,277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Equity</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Surplus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14,266,400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41,647,970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Equity Capital</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FORM T-1</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 GENERAL INFORMATION. Furnish the following information as to the Trustee.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2. AFFILIATIONS WITH OBLIGOR. If the obligor is an affiliate of the Trustee, describe each such affiliation.</w:t>
        </w:r>
      </w:hyperlink>
    </w:p>
    <w:p>
      <w:pPr>
        <w:spacing w:after="0" w:line="9" w:lineRule="exact"/>
        <w:rPr>
          <w:sz w:val="20"/>
          <w:szCs w:val="20"/>
          <w:color w:val="auto"/>
        </w:rPr>
      </w:pPr>
    </w:p>
    <w:p>
      <w:pPr>
        <w:ind w:left="540"/>
        <w:spacing w:after="0" w:line="250"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Items 3-15 Items 3-15 are not applicable because to the best of the Trustee's knowledge, the obligor is not in default under any Indenture for which the</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Trustee acts as Trustee.</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16. LIST OF EXHIBITS: List below all exhibits filed as a part of this statement of eligibility and qualification.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 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 3</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 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 7 U.S. Bank National Association Statement of Financial Condition As of 6/30/2015 ($000's)</w:t>
        </w:r>
      </w:hyperlink>
    </w:p>
    <w:sectPr>
      <w:pgSz w:w="11900" w:h="16838" w:orient="portrait"/>
      <w:cols w:equalWidth="0" w:num="1">
        <w:col w:w="11120"/>
      </w:cols>
      <w:pgMar w:left="240" w:top="82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lowerLetter"/>
      <w:start w:val="1"/>
    </w:lvl>
    <w:lvl w:ilvl="1">
      <w:lvlJc w:val="left"/>
      <w:lvlText w:val="(%2)"/>
      <w:numFmt w:val="decimal"/>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2"/>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lvl w:ilvl="1">
      <w:lvlJc w:val="left"/>
      <w:lvlText w:val="(%2)"/>
      <w:numFmt w:val="lowerLetter"/>
      <w:start w:val="1"/>
    </w:lvl>
  </w:abstractNum>
  <w:abstractNum w:abstractNumId="41">
    <w:nsid w:val="649BB77C"/>
    <w:multiLevelType w:val="hybridMultilevel"/>
    <w:lvl w:ilvl="0">
      <w:lvlJc w:val="left"/>
      <w:lvlText w:val="%1"/>
      <w:numFmt w:val="decimal"/>
      <w:start w:val="1"/>
    </w:lvl>
    <w:lvl w:ilvl="1">
      <w:lvlJc w:val="left"/>
      <w:lvlText w:val="(%2)"/>
      <w:numFmt w:val="lowerLetter"/>
      <w:start w:val="3"/>
    </w:lvl>
  </w:abstractNum>
  <w:abstractNum w:abstractNumId="42">
    <w:nsid w:val="275AC794"/>
    <w:multiLevelType w:val="hybridMultilevel"/>
    <w:lvl w:ilvl="0">
      <w:lvlJc w:val="left"/>
      <w:lvlText w:val="(%1)"/>
      <w:numFmt w:val="decimal"/>
      <w:start w:val="3"/>
    </w:lvl>
    <w:lvl w:ilvl="1">
      <w:lvlJc w:val="left"/>
      <w:lvlText w:val="%2"/>
      <w:numFmt w:val="lowerLetter"/>
      <w:start w:val="1"/>
    </w:lvl>
  </w:abstractNum>
  <w:abstractNum w:abstractNumId="43">
    <w:nsid w:val="39386575"/>
    <w:multiLevelType w:val="hybridMultilevel"/>
    <w:lvl w:ilvl="0">
      <w:lvlJc w:val="left"/>
      <w:lvlText w:val="•"/>
      <w:numFmt w:val="bullet"/>
      <w:start w:val="1"/>
    </w:lvl>
    <w:lvl w:ilvl="1">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9">
    <w:nsid w:val="15B5AF5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50">
    <w:nsid w:val="741226B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1">
    <w:nsid w:val="D34B6A8"/>
    <w:multiLevelType w:val="hybridMultilevel"/>
    <w:lvl w:ilvl="0">
      <w:lvlJc w:val="left"/>
      <w:lvlText w:val="%1."/>
      <w:numFmt w:val="upperLetter"/>
      <w:start w:val="3"/>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4"/>
    </w:lvl>
  </w:abstractNum>
  <w:abstractNum w:abstractNumId="57">
    <w:nsid w:val="579BE4F1"/>
    <w:multiLevelType w:val="hybridMultilevel"/>
    <w:lvl w:ilvl="0">
      <w:lvlJc w:val="left"/>
      <w:lvlText w:val="%1"/>
      <w:numFmt w:val="lowerLetter"/>
      <w:start w:val="1"/>
    </w:lvl>
    <w:lvl w:ilvl="1">
      <w:lvlJc w:val="left"/>
      <w:lvlText w:val="(%2)"/>
      <w:numFmt w:val="decimal"/>
      <w:start w:val="1"/>
    </w:lvl>
  </w:abstractNum>
  <w:abstractNum w:abstractNumId="58">
    <w:nsid w:val="310C50B3"/>
    <w:multiLevelType w:val="hybridMultilevel"/>
    <w:lvl w:ilvl="0">
      <w:lvlJc w:val="left"/>
      <w:lvlText w:val="(%1)"/>
      <w:numFmt w:val="lowerLetter"/>
      <w:start w:val="24"/>
    </w:lvl>
    <w:lvl w:ilvl="1">
      <w:lvlJc w:val="left"/>
      <w:lvlText w:val="%2"/>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2"/>
    </w:lvl>
  </w:abstractNum>
  <w:abstractNum w:abstractNumId="63">
    <w:nsid w:val="4AD084E9"/>
    <w:multiLevelType w:val="hybridMultilevel"/>
    <w:lvl w:ilvl="0">
      <w:lvlJc w:val="left"/>
      <w:lvlText w:val="*"/>
      <w:numFmt w:val="bullet"/>
      <w:start w:val="1"/>
    </w:lvl>
    <w:lvl w:ilvl="1">
      <w:lvlJc w:val="left"/>
      <w:lvlText w:val="%2."/>
      <w:numFmt w:val="decimal"/>
      <w:start w:val="1"/>
    </w:lvl>
  </w:abstractNum>
  <w:abstractNum w:abstractNumId="64">
    <w:nsid w:val="1F48EAA1"/>
    <w:multiLevelType w:val="hybridMultilevel"/>
    <w:lvl w:ilvl="0">
      <w:lvlJc w:val="left"/>
      <w:lvlText w:val="**"/>
      <w:numFmt w:val="bullet"/>
      <w:start w:val="1"/>
    </w:lvl>
    <w:lvl w:ilvl="1">
      <w:lvlJc w:val="left"/>
      <w:lvlText w:val="%2"/>
      <w:numFmt w:val="decimal"/>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lowerLetter"/>
      <w:start w:val="2"/>
    </w:lvl>
  </w:abstractNum>
  <w:abstractNum w:abstractNumId="67">
    <w:nsid w:val="100F8FCA"/>
    <w:multiLevelType w:val="hybridMultilevel"/>
    <w:lvl w:ilvl="0">
      <w:lvlJc w:val="left"/>
      <w:lvlText w:val="*"/>
      <w:numFmt w:val="bullet"/>
      <w:start w:val="1"/>
    </w:lvl>
    <w:lvl w:ilvl="1">
      <w:lvlJc w:val="left"/>
      <w:lvlText w:val="%2."/>
      <w:numFmt w:val="decimal"/>
      <w:start w:val="1"/>
    </w:lvl>
  </w:abstractNum>
  <w:abstractNum w:abstractNumId="68">
    <w:nsid w:val="6590700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2020-01-24T18:45:34Z</dcterms:created>
  <dcterms:modified xsi:type="dcterms:W3CDTF">2020-01-24T18:45:34Z</dcterms:modified>
</cp:coreProperties>
</file>