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800"/>
        <w:spacing w:after="0"/>
        <w:rPr>
          <w:sz w:val="20"/>
          <w:szCs w:val="20"/>
          <w:color w:val="auto"/>
        </w:rPr>
      </w:pPr>
      <w:r>
        <w:rPr>
          <w:rFonts w:ascii="Courier New" w:cs="Courier New" w:eastAsia="Courier New" w:hAnsi="Courier New"/>
          <w:sz w:val="18"/>
          <w:szCs w:val="18"/>
          <w:color w:val="auto"/>
        </w:rPr>
        <w:t>OMB APPROVAL</w:t>
      </w:r>
    </w:p>
    <w:p>
      <w:pPr>
        <w:jc w:val="right"/>
        <w:ind w:right="1779"/>
        <w:spacing w:after="0"/>
        <w:tabs>
          <w:tab w:leader="none" w:pos="94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5" w:lineRule="exact"/>
        <w:rPr>
          <w:sz w:val="24"/>
          <w:szCs w:val="24"/>
          <w:color w:val="auto"/>
        </w:rPr>
      </w:pPr>
    </w:p>
    <w:p>
      <w:pPr>
        <w:ind w:left="5800"/>
        <w:spacing w:after="0"/>
        <w:rPr>
          <w:sz w:val="20"/>
          <w:szCs w:val="20"/>
          <w:color w:val="auto"/>
        </w:rPr>
      </w:pPr>
      <w:r>
        <w:rPr>
          <w:rFonts w:ascii="Courier New" w:cs="Courier New" w:eastAsia="Courier New" w:hAnsi="Courier New"/>
          <w:sz w:val="16"/>
          <w:szCs w:val="16"/>
          <w:color w:val="auto"/>
        </w:rPr>
        <w:t>Expires: October 31, 2002</w:t>
      </w:r>
    </w:p>
    <w:p>
      <w:pPr>
        <w:spacing w:after="0" w:line="16" w:lineRule="exact"/>
        <w:rPr>
          <w:sz w:val="24"/>
          <w:szCs w:val="24"/>
          <w:color w:val="auto"/>
        </w:rPr>
      </w:pPr>
    </w:p>
    <w:p>
      <w:pPr>
        <w:ind w:left="5800"/>
        <w:spacing w:after="0"/>
        <w:rPr>
          <w:sz w:val="20"/>
          <w:szCs w:val="20"/>
          <w:color w:val="auto"/>
        </w:rPr>
      </w:pPr>
      <w:r>
        <w:rPr>
          <w:rFonts w:ascii="Courier New" w:cs="Courier New" w:eastAsia="Courier New" w:hAnsi="Courier New"/>
          <w:sz w:val="18"/>
          <w:szCs w:val="18"/>
          <w:color w:val="auto"/>
        </w:rPr>
        <w:t>Estimated average burden</w:t>
      </w:r>
    </w:p>
    <w:p>
      <w:pPr>
        <w:spacing w:after="0" w:line="4" w:lineRule="exact"/>
        <w:rPr>
          <w:sz w:val="24"/>
          <w:szCs w:val="24"/>
          <w:color w:val="auto"/>
        </w:rPr>
      </w:pPr>
    </w:p>
    <w:p>
      <w:pPr>
        <w:ind w:left="5800"/>
        <w:spacing w:after="0"/>
        <w:rPr>
          <w:sz w:val="20"/>
          <w:szCs w:val="20"/>
          <w:color w:val="auto"/>
        </w:rPr>
      </w:pPr>
      <w:r>
        <w:rPr>
          <w:rFonts w:ascii="Courier New" w:cs="Courier New" w:eastAsia="Courier New" w:hAnsi="Courier New"/>
          <w:sz w:val="16"/>
          <w:szCs w:val="16"/>
          <w:color w:val="auto"/>
        </w:rPr>
        <w:t>Hours per response..14.90</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NO.3)</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PLAINS ALL AMERICAN PIPELINE, LP</w:t>
      </w:r>
    </w:p>
    <w:p>
      <w:pPr>
        <w:ind w:left="4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UNITS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726503105</w:t>
      </w:r>
    </w:p>
    <w:p>
      <w:pPr>
        <w:ind w:left="4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6" w:lineRule="exact"/>
        <w:rPr>
          <w:sz w:val="24"/>
          <w:szCs w:val="24"/>
          <w:color w:val="auto"/>
        </w:rPr>
      </w:pPr>
    </w:p>
    <w:p>
      <w:pPr>
        <w:jc w:val="right"/>
        <w:ind w:left="960" w:right="2739"/>
        <w:spacing w:after="0" w:line="268" w:lineRule="auto"/>
        <w:rPr>
          <w:sz w:val="20"/>
          <w:szCs w:val="20"/>
          <w:color w:val="auto"/>
        </w:rPr>
      </w:pPr>
      <w:r>
        <w:rPr>
          <w:rFonts w:ascii="Courier New" w:cs="Courier New" w:eastAsia="Courier New" w:hAnsi="Courier New"/>
          <w:sz w:val="16"/>
          <w:szCs w:val="16"/>
          <w:color w:val="auto"/>
        </w:rPr>
        <w:t>DAVID J. SHLADOVSKY, C/O KAYNE ANDERSON CAPITAL ADVISORS, L.P. 1800 AVENUE OF THE STARS, SECOND FLOOR, LOS ANGELES, CA 90067</w:t>
      </w:r>
    </w:p>
    <w:p>
      <w:pPr>
        <w:ind w:left="4120" w:hanging="636"/>
        <w:spacing w:after="0" w:line="233"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556-2721</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165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5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09-30-05</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13d-1(f) or 13d-1(g), check the following box [ ].</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13d-7(b)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3560" w:val="left"/>
          <w:tab w:leader="none" w:pos="6620" w:val="left"/>
        </w:tabs>
        <w:rPr>
          <w:sz w:val="20"/>
          <w:szCs w:val="20"/>
          <w:color w:val="auto"/>
        </w:rPr>
      </w:pPr>
      <w:r>
        <w:rPr>
          <w:rFonts w:ascii="Courier New" w:cs="Courier New" w:eastAsia="Courier New" w:hAnsi="Courier New"/>
          <w:sz w:val="18"/>
          <w:szCs w:val="18"/>
          <w:color w:val="auto"/>
        </w:rPr>
        <w:t>CUSIP NO. 726503105</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2 OF 7 PAGES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6100" w:val="left"/>
        </w:tabs>
        <w:rPr>
          <w:sz w:val="20"/>
          <w:szCs w:val="20"/>
          <w:color w:val="auto"/>
        </w:rPr>
      </w:pPr>
      <w:r>
        <w:rPr>
          <w:rFonts w:ascii="Courier New" w:cs="Courier New" w:eastAsia="Courier New" w:hAnsi="Courier New"/>
          <w:sz w:val="18"/>
          <w:szCs w:val="18"/>
          <w:color w:val="auto"/>
        </w:rPr>
        <w:t>RICHARD A. KAYNE</w:t>
      </w:r>
      <w:r>
        <w:rPr>
          <w:sz w:val="20"/>
          <w:szCs w:val="20"/>
          <w:color w:val="auto"/>
        </w:rPr>
        <w:tab/>
      </w:r>
      <w:r>
        <w:rPr>
          <w:rFonts w:ascii="Courier New" w:cs="Courier New" w:eastAsia="Courier New" w:hAnsi="Courier New"/>
          <w:sz w:val="16"/>
          <w:szCs w:val="16"/>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73"/>
              </w:rPr>
              <w:t>2</w:t>
            </w:r>
          </w:p>
        </w:tc>
        <w:tc>
          <w:tcPr>
            <w:tcW w:w="6260" w:type="dxa"/>
            <w:vAlign w:val="bottom"/>
          </w:tcPr>
          <w:p>
            <w:pPr>
              <w:ind w:left="3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260" w:type="dxa"/>
            <w:vAlign w:val="bottom"/>
          </w:tcPr>
          <w:p>
            <w:pPr>
              <w:ind w:left="90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2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AF PF</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 PURSUANT</w:t>
      </w:r>
    </w:p>
    <w:p>
      <w:pPr>
        <w:ind w:left="860"/>
        <w:spacing w:after="0"/>
        <w:tabs>
          <w:tab w:leader="none" w:pos="810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 U.S. CITIZEN</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270,365</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520" w:type="dxa"/>
            <w:vAlign w:val="bottom"/>
          </w:tcPr>
          <w:p>
            <w:pPr>
              <w:jc w:val="right"/>
              <w:ind w:right="435"/>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5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5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6,117,959</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r>
      <w:tr>
        <w:trPr>
          <w:trHeight w:val="203"/>
        </w:trPr>
        <w:tc>
          <w:tcPr>
            <w:tcW w:w="2280" w:type="dxa"/>
            <w:vAlign w:val="bottom"/>
          </w:tcPr>
          <w:p>
            <w:pPr>
              <w:spacing w:after="0"/>
              <w:rPr>
                <w:sz w:val="17"/>
                <w:szCs w:val="17"/>
                <w:color w:val="auto"/>
              </w:rPr>
            </w:pPr>
          </w:p>
        </w:tc>
        <w:tc>
          <w:tcPr>
            <w:tcW w:w="1520" w:type="dxa"/>
            <w:vAlign w:val="bottom"/>
          </w:tcPr>
          <w:p>
            <w:pPr>
              <w:jc w:val="right"/>
              <w:ind w:right="435"/>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270,365</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800" w:right="3899" w:hanging="737"/>
        <w:spacing w:after="0" w:line="357" w:lineRule="auto"/>
        <w:tabs>
          <w:tab w:leader="none" w:pos="38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6,117,959</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6,388,324</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 ROW (11) EXCLUDES CERTAIN</w:t>
      </w:r>
    </w:p>
    <w:p>
      <w:pPr>
        <w:ind w:left="860"/>
        <w:spacing w:after="0"/>
        <w:tabs>
          <w:tab w:leader="none" w:pos="810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 ]</w:t>
      </w:r>
    </w:p>
    <w:p>
      <w:pPr>
        <w:spacing w:after="0" w:line="206"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9.41%</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2" w:name="page3"/>
    <w:bookmarkEnd w:id="2"/>
    <w:p>
      <w:pPr>
        <w:spacing w:after="0"/>
        <w:tabs>
          <w:tab w:leader="none" w:pos="3560" w:val="left"/>
          <w:tab w:leader="none" w:pos="6620" w:val="left"/>
        </w:tabs>
        <w:rPr>
          <w:sz w:val="20"/>
          <w:szCs w:val="20"/>
          <w:color w:val="auto"/>
        </w:rPr>
      </w:pPr>
      <w:r>
        <w:rPr>
          <w:rFonts w:ascii="Courier New" w:cs="Courier New" w:eastAsia="Courier New" w:hAnsi="Courier New"/>
          <w:sz w:val="18"/>
          <w:szCs w:val="18"/>
          <w:color w:val="auto"/>
        </w:rPr>
        <w:t>CUSIP NO. 726503105</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3 OF 7 PAGES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4580" w:type="dxa"/>
            <w:vAlign w:val="bottom"/>
          </w:tcPr>
          <w:p>
            <w:pPr>
              <w:spacing w:after="0"/>
              <w:rPr>
                <w:sz w:val="20"/>
                <w:szCs w:val="20"/>
                <w:color w:val="auto"/>
              </w:rPr>
            </w:pPr>
            <w:r>
              <w:rPr>
                <w:rFonts w:ascii="Courier New" w:cs="Courier New" w:eastAsia="Courier New" w:hAnsi="Courier New"/>
                <w:sz w:val="18"/>
                <w:szCs w:val="18"/>
                <w:color w:val="auto"/>
              </w:rPr>
              <w:t>KAYNE ANDERSON CAPITAL ADVISORS, L.P.</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- 95-4486379</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73"/>
              </w:rPr>
              <w:t>2</w:t>
            </w:r>
          </w:p>
        </w:tc>
        <w:tc>
          <w:tcPr>
            <w:tcW w:w="6260" w:type="dxa"/>
            <w:vAlign w:val="bottom"/>
          </w:tcPr>
          <w:p>
            <w:pPr>
              <w:ind w:left="3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260" w:type="dxa"/>
            <w:vAlign w:val="bottom"/>
          </w:tcPr>
          <w:p>
            <w:pPr>
              <w:ind w:left="90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2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AF PF</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 PURSUANT</w:t>
      </w:r>
    </w:p>
    <w:p>
      <w:pPr>
        <w:ind w:left="860"/>
        <w:spacing w:after="0"/>
        <w:tabs>
          <w:tab w:leader="none" w:pos="810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 CALIFORNIA LIMITED PARTNERSHIP</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520" w:type="dxa"/>
            <w:vAlign w:val="bottom"/>
          </w:tcPr>
          <w:p>
            <w:pPr>
              <w:jc w:val="right"/>
              <w:ind w:right="435"/>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5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520" w:type="dxa"/>
            <w:vAlign w:val="bottom"/>
          </w:tcPr>
          <w:p>
            <w:pPr>
              <w:spacing w:after="0"/>
              <w:rPr>
                <w:sz w:val="17"/>
                <w:szCs w:val="17"/>
                <w:color w:val="auto"/>
              </w:rPr>
            </w:pPr>
          </w:p>
        </w:tc>
        <w:tc>
          <w:tcPr>
            <w:tcW w:w="23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6,117,959</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r>
      <w:tr>
        <w:trPr>
          <w:trHeight w:val="203"/>
        </w:trPr>
        <w:tc>
          <w:tcPr>
            <w:tcW w:w="2280" w:type="dxa"/>
            <w:vAlign w:val="bottom"/>
          </w:tcPr>
          <w:p>
            <w:pPr>
              <w:spacing w:after="0"/>
              <w:rPr>
                <w:sz w:val="17"/>
                <w:szCs w:val="17"/>
                <w:color w:val="auto"/>
              </w:rPr>
            </w:pPr>
          </w:p>
        </w:tc>
        <w:tc>
          <w:tcPr>
            <w:tcW w:w="1520" w:type="dxa"/>
            <w:vAlign w:val="bottom"/>
          </w:tcPr>
          <w:p>
            <w:pPr>
              <w:jc w:val="right"/>
              <w:ind w:right="435"/>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0</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800" w:right="3899" w:hanging="737"/>
        <w:spacing w:after="0" w:line="357" w:lineRule="auto"/>
        <w:tabs>
          <w:tab w:leader="none" w:pos="38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6,117,959</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6,117,959</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 ROW (11) EXCLUDES CERTAIN</w:t>
      </w:r>
    </w:p>
    <w:p>
      <w:pPr>
        <w:ind w:left="860"/>
        <w:spacing w:after="0"/>
        <w:tabs>
          <w:tab w:leader="none" w:pos="810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 ]</w:t>
      </w: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9.01%</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480"/>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Units, $0.10 par value.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Plains All American Pipeline, LP</w:t>
      </w:r>
    </w:p>
    <w:p>
      <w:pPr>
        <w:ind w:left="860"/>
        <w:spacing w:after="0" w:line="238" w:lineRule="auto"/>
        <w:rPr>
          <w:sz w:val="20"/>
          <w:szCs w:val="20"/>
          <w:color w:val="auto"/>
        </w:rPr>
      </w:pPr>
      <w:r>
        <w:rPr>
          <w:rFonts w:ascii="Courier New" w:cs="Courier New" w:eastAsia="Courier New" w:hAnsi="Courier New"/>
          <w:sz w:val="18"/>
          <w:szCs w:val="18"/>
          <w:color w:val="auto"/>
        </w:rPr>
        <w:t>333 Clay Street, Suite 1600</w:t>
      </w:r>
    </w:p>
    <w:p>
      <w:pPr>
        <w:ind w:left="860"/>
        <w:spacing w:after="0"/>
        <w:tabs>
          <w:tab w:leader="none" w:pos="2200" w:val="left"/>
        </w:tabs>
        <w:rPr>
          <w:sz w:val="20"/>
          <w:szCs w:val="20"/>
          <w:color w:val="auto"/>
        </w:rPr>
      </w:pPr>
      <w:r>
        <w:rPr>
          <w:rFonts w:ascii="Courier New" w:cs="Courier New" w:eastAsia="Courier New" w:hAnsi="Courier New"/>
          <w:sz w:val="18"/>
          <w:szCs w:val="18"/>
          <w:color w:val="auto"/>
        </w:rPr>
        <w:t>Houston, TX</w:t>
      </w:r>
      <w:r>
        <w:rPr>
          <w:sz w:val="20"/>
          <w:szCs w:val="20"/>
          <w:color w:val="auto"/>
        </w:rPr>
        <w:tab/>
      </w:r>
      <w:r>
        <w:rPr>
          <w:rFonts w:ascii="Courier New" w:cs="Courier New" w:eastAsia="Courier New" w:hAnsi="Courier New"/>
          <w:sz w:val="16"/>
          <w:szCs w:val="16"/>
          <w:color w:val="auto"/>
        </w:rPr>
        <w:t>77002</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Reporting Persons include Kayne Anderson Capital Advisors, L.P. and Richard A. Kayne.</w:t>
      </w:r>
    </w:p>
    <w:p>
      <w:pPr>
        <w:spacing w:after="0" w:line="203"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KAYNE ANDERSON CAPITAL ADVISORS, L.P.</w:t>
      </w:r>
    </w:p>
    <w:p>
      <w:pPr>
        <w:spacing w:after="0" w:line="206" w:lineRule="exact"/>
        <w:rPr>
          <w:rFonts w:ascii="Courier New" w:cs="Courier New" w:eastAsia="Courier New" w:hAnsi="Courier New"/>
          <w:sz w:val="18"/>
          <w:szCs w:val="18"/>
          <w:color w:val="auto"/>
        </w:rPr>
      </w:pPr>
    </w:p>
    <w:p>
      <w:pPr>
        <w:ind w:left="8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Kayne Anderson Capital Advisors, L.P. ("KACALP"), a California limited partnership, is an investment adviser registered with the Securities and Exchange Commission under the Investment Advisers Act of 1940. It serves as sole general partner of and investment adviser to various investment partnerships holding the issuer's Common Units. KACALP also serves as investment adviser to Kayne Anderson MLP Investment Company ("KAMIC") and Kayne Anderson Energy Total Return Fund ("KATRF"), publicly traded closed-end funds, and a small number of separate account clients which hold the issuer's Common Stock.</w:t>
      </w:r>
    </w:p>
    <w:p>
      <w:pPr>
        <w:spacing w:after="0" w:line="213" w:lineRule="exact"/>
        <w:rPr>
          <w:rFonts w:ascii="Courier New" w:cs="Courier New" w:eastAsia="Courier New" w:hAnsi="Courier New"/>
          <w:sz w:val="18"/>
          <w:szCs w:val="18"/>
          <w:color w:val="auto"/>
        </w:rPr>
      </w:pPr>
    </w:p>
    <w:p>
      <w:pPr>
        <w:ind w:left="8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Kayne Anderson Investment Management, Inc. ("KAIM"), a Nevada corporation, is the sole general partner of KACALP. KAIM is owned by KA Holdings, Inc. ("KA Holdings"), a California corporation, the shareholders of which are Richard A. Kayne and John E. Anderson. The principal business address of the Reporting Persons, KAIM and KA Holdings is 1800 Avenue of the Stars, Second Floor, Los Angeles, California 90067.</w:t>
      </w:r>
    </w:p>
    <w:p>
      <w:pPr>
        <w:spacing w:after="0" w:line="205"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RICHARD A. KAYNE</w:t>
      </w:r>
    </w:p>
    <w:p>
      <w:pPr>
        <w:spacing w:after="0" w:line="206" w:lineRule="exact"/>
        <w:rPr>
          <w:rFonts w:ascii="Courier New" w:cs="Courier New" w:eastAsia="Courier New" w:hAnsi="Courier New"/>
          <w:sz w:val="18"/>
          <w:szCs w:val="18"/>
          <w:color w:val="auto"/>
        </w:rPr>
      </w:pPr>
    </w:p>
    <w:p>
      <w:pPr>
        <w:ind w:left="860"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Kayne, a U.S. citizen, is President, Chief Executive Officer and Director of KAIM and KA Holdings.</w:t>
      </w:r>
    </w:p>
    <w:p>
      <w:pPr>
        <w:spacing w:after="0" w:line="208" w:lineRule="exact"/>
        <w:rPr>
          <w:rFonts w:ascii="Courier New" w:cs="Courier New" w:eastAsia="Courier New" w:hAnsi="Courier New"/>
          <w:sz w:val="18"/>
          <w:szCs w:val="18"/>
          <w:color w:val="auto"/>
        </w:rPr>
      </w:pPr>
    </w:p>
    <w:p>
      <w:pPr>
        <w:ind w:left="8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Kayne also serves as Co-Management Chair and Chief Executive Officer of Kayne Anderson Rudnick Investment Management, LLC, a California limited liability company ("KARIM"), and President and Director of KA Associates, Inc., a Nevada corporation ("KAA"). KARIM is a registered investment adviser. KAA is a registered broker/dealer. The principal business address of KARIM and KAA is 1800 Avenue of the Stars, Second Floor, Los Angeles, CA 90067.</w:t>
      </w:r>
    </w:p>
    <w:p>
      <w:pPr>
        <w:spacing w:after="0" w:line="211" w:lineRule="exact"/>
        <w:rPr>
          <w:rFonts w:ascii="Courier New" w:cs="Courier New" w:eastAsia="Courier New" w:hAnsi="Courier New"/>
          <w:sz w:val="18"/>
          <w:szCs w:val="18"/>
          <w:color w:val="auto"/>
        </w:rPr>
      </w:pPr>
    </w:p>
    <w:p>
      <w:pPr>
        <w:ind w:left="860" w:right="1779" w:hanging="852"/>
        <w:spacing w:after="0" w:line="237"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Reporting Persons, KAIM or KA Holdings has been convicted in a criminal proceeding (excluding traffic violations or similar misdemeanors) in the past five years, nor has any of them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 with respect to such law during the last five years.</w:t>
      </w:r>
    </w:p>
    <w:p>
      <w:pPr>
        <w:sectPr>
          <w:pgSz w:w="11900" w:h="16838" w:orient="portrait"/>
          <w:cols w:equalWidth="0" w:num="1">
            <w:col w:w="10219"/>
          </w:cols>
          <w:pgMar w:left="240" w:top="717" w:right="1440" w:bottom="1440" w:gutter="0" w:footer="0" w:header="0"/>
        </w:sectPr>
      </w:pPr>
    </w:p>
    <w:bookmarkStart w:id="4" w:name="page5"/>
    <w:bookmarkEnd w:id="4"/>
    <w:p>
      <w:pPr>
        <w:ind w:left="860" w:right="1779" w:hanging="852"/>
        <w:spacing w:after="0" w:line="270" w:lineRule="auto"/>
        <w:tabs>
          <w:tab w:leader="none" w:pos="8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additional persons are officers and/or directors of one or more of KAIM and KA Holdings. (KACALP, a limited partnership, does not have any officers or directors.) Each such person is a U.S. citizen whose address is, unless noted otherwise, 1800 Avenue of the Stars, Second Floor, Los Angeles, California 90067. None of such persons has been convicted in a criminal proceeding (excluding traffic violations or similar misdemeanors) in the past five years, nor has any of them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 with respect to such law during the last five years.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JOHN E. ANDERSON.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Chairman of Topa Equities, Ltd., a diversified investment company located at 1800 Avenue of the Stars, Suite 1400, Los Angeles, California 90067. Mr. Anderson is Director of KAIM and KA Holdings.</w:t>
      </w:r>
    </w:p>
    <w:p>
      <w:pPr>
        <w:spacing w:after="0" w:line="185"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HOWARD M. ZELIKOW.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Director of KAIM</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2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ROBERT V. SINNOTT.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of KAIM</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2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RALPH C. WALTER.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Chief Operating Officer of KAIM and KA Holdings.</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DAVID J. SHLADOVSKY.</w:t>
      </w:r>
    </w:p>
    <w:p>
      <w:pPr>
        <w:spacing w:after="0" w:line="20" w:lineRule="exact"/>
        <w:rPr>
          <w:sz w:val="20"/>
          <w:szCs w:val="20"/>
          <w:color w:val="auto"/>
        </w:rPr>
      </w:pPr>
      <w:r>
        <w:rPr>
          <w:sz w:val="20"/>
          <w:szCs w:val="20"/>
          <w:color w:val="auto"/>
        </w:rPr>
        <w:br w:type="column"/>
      </w:r>
    </w:p>
    <w:p>
      <w:pPr>
        <w:ind w:right="1879"/>
        <w:spacing w:after="0" w:line="235" w:lineRule="auto"/>
        <w:rPr>
          <w:sz w:val="20"/>
          <w:szCs w:val="20"/>
          <w:color w:val="auto"/>
        </w:rPr>
      </w:pPr>
      <w:r>
        <w:rPr>
          <w:rFonts w:ascii="Courier New" w:cs="Courier New" w:eastAsia="Courier New" w:hAnsi="Courier New"/>
          <w:sz w:val="18"/>
          <w:szCs w:val="18"/>
          <w:color w:val="auto"/>
        </w:rPr>
        <w:t>General Counsel and Secretary of KAIM and KA Holdings.</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JOHN F. DALEY.</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Chief Financial Officer and Treasurer of KAIM and KA Holdings.</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This Schedule 13D is filed for purposes of disclosing that the Reporting Persons have acquired additional shares of Issuer's outstanding Common Units.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1999" w:firstLine="8"/>
        <w:spacing w:after="0" w:line="237" w:lineRule="auto"/>
        <w:tabs>
          <w:tab w:leader="none" w:pos="84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September 30, 2005, Mr. Kayne beneficially owns 6,388,324 Common Units, or approximately 9.41% of the outstanding Common Units. Of those Common Units, KACALP, as general partner of or investment adviser to investment funds accounts, beneficially owns 6,117,959 Common Units, or approximately 9.01% of the outstanding Common Units.</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Mr. Kayne has the sole power to vote and dispose, or direct the disposition, of 270,365 Common Units, and (ii) Mr. Kayne and KACALP have the shared power to vote and dispose, or direct the disposition, of 6,117,959 Common Units.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Common Units over which Mr. Kayne has sole voting and dispositive power are held by him directly or by accounts for which he serves as trustee or custodian. The Common Units over which Mr. Kayne and KACALP have shared voting and dispositive power are held by accounts for which KACALP serves as general partner or investment adviser.</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KACALP disclaims beneficial ownership of the Common Units reported, except those Common Units attributable to it by virtue of its general partner interests in the limited partnerships holding such shares. Mr. Kayne disclaims beneficial ownership of the Common Units reported, except those Common Units held by him or attributable to him by virtue of his limited partner interests in such limited partnerships, by virtue of his indirect interest in the interest of KACALP in such limited partnerships and by his ownership of shares in KAMIC.</w:t>
      </w:r>
    </w:p>
    <w:p>
      <w:pPr>
        <w:sectPr>
          <w:pgSz w:w="11900" w:h="16838" w:orient="portrait"/>
          <w:cols w:equalWidth="0" w:num="1">
            <w:col w:w="10219"/>
          </w:cols>
          <w:pgMar w:left="240" w:top="723" w:right="1440" w:bottom="1440" w:gutter="0" w:footer="0" w:header="0"/>
          <w:type w:val="continuous"/>
        </w:sectPr>
      </w:pPr>
    </w:p>
    <w:bookmarkStart w:id="5" w:name="page6"/>
    <w:bookmarkEnd w:id="5"/>
    <w:p>
      <w:pPr>
        <w:ind w:right="1779" w:firstLine="8"/>
        <w:spacing w:after="0" w:line="235" w:lineRule="auto"/>
        <w:tabs>
          <w:tab w:leader="none" w:pos="84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transactions in the Common Units beneficially owned by the Reporting Persons were effected in the last 60 days: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Common Stock</w:t>
            </w:r>
          </w:p>
        </w:tc>
        <w:tc>
          <w:tcPr>
            <w:tcW w:w="1260" w:type="dxa"/>
            <w:vAlign w:val="bottom"/>
          </w:tcPr>
          <w:p>
            <w:pPr>
              <w:ind w:left="260"/>
              <w:spacing w:after="0"/>
              <w:rPr>
                <w:sz w:val="20"/>
                <w:szCs w:val="20"/>
                <w:color w:val="auto"/>
              </w:rPr>
            </w:pPr>
            <w:r>
              <w:rPr>
                <w:rFonts w:ascii="Courier New" w:cs="Courier New" w:eastAsia="Courier New" w:hAnsi="Courier New"/>
                <w:sz w:val="18"/>
                <w:szCs w:val="18"/>
                <w:color w:val="auto"/>
              </w:rPr>
              <w:t>Stock</w:t>
            </w:r>
          </w:p>
        </w:tc>
        <w:tc>
          <w:tcPr>
            <w:tcW w:w="3540" w:type="dxa"/>
            <w:vAlign w:val="bottom"/>
          </w:tcPr>
          <w:p>
            <w:pPr>
              <w:spacing w:after="0"/>
              <w:rPr>
                <w:sz w:val="17"/>
                <w:szCs w:val="17"/>
                <w:color w:val="auto"/>
              </w:rPr>
            </w:pP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w:t>
            </w: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Type</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of shares</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Price</w:t>
            </w:r>
          </w:p>
        </w:tc>
        <w:tc>
          <w:tcPr>
            <w:tcW w:w="3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Where/how transaction effected</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3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9/29/05</w:t>
            </w: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buy</w:t>
            </w:r>
          </w:p>
        </w:tc>
        <w:tc>
          <w:tcPr>
            <w:tcW w:w="20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5,200</w:t>
            </w:r>
          </w:p>
        </w:tc>
        <w:tc>
          <w:tcPr>
            <w:tcW w:w="1260" w:type="dxa"/>
            <w:vAlign w:val="bottom"/>
          </w:tcPr>
          <w:p>
            <w:pPr>
              <w:ind w:left="260"/>
              <w:spacing w:after="0"/>
              <w:rPr>
                <w:sz w:val="20"/>
                <w:szCs w:val="20"/>
                <w:color w:val="auto"/>
              </w:rPr>
            </w:pPr>
            <w:r>
              <w:rPr>
                <w:rFonts w:ascii="Courier New" w:cs="Courier New" w:eastAsia="Courier New" w:hAnsi="Courier New"/>
                <w:sz w:val="18"/>
                <w:szCs w:val="18"/>
                <w:color w:val="auto"/>
              </w:rPr>
              <w:t>42.64</w:t>
            </w:r>
          </w:p>
        </w:tc>
        <w:tc>
          <w:tcPr>
            <w:tcW w:w="3540" w:type="dxa"/>
            <w:vAlign w:val="bottom"/>
          </w:tcPr>
          <w:p>
            <w:pPr>
              <w:ind w:left="160"/>
              <w:spacing w:after="0"/>
              <w:rPr>
                <w:sz w:val="20"/>
                <w:szCs w:val="20"/>
                <w:color w:val="auto"/>
              </w:rPr>
            </w:pPr>
            <w:r>
              <w:rPr>
                <w:rFonts w:ascii="Courier New" w:cs="Courier New" w:eastAsia="Courier New" w:hAnsi="Courier New"/>
                <w:sz w:val="18"/>
                <w:szCs w:val="18"/>
                <w:color w:val="auto"/>
              </w:rPr>
              <w:t>open market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9/30/05</w:t>
            </w: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buy</w:t>
            </w:r>
          </w:p>
        </w:tc>
        <w:tc>
          <w:tcPr>
            <w:tcW w:w="20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423,600</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40.51</w:t>
            </w:r>
          </w:p>
        </w:tc>
        <w:tc>
          <w:tcPr>
            <w:tcW w:w="3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purchase from issuer</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9/30/05</w:t>
            </w: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buy</w:t>
            </w:r>
          </w:p>
        </w:tc>
        <w:tc>
          <w:tcPr>
            <w:tcW w:w="20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255,400</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40.51</w:t>
            </w:r>
          </w:p>
        </w:tc>
        <w:tc>
          <w:tcPr>
            <w:tcW w:w="3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purchase from issuer</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9/30/05</w:t>
            </w: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buy</w:t>
            </w:r>
          </w:p>
        </w:tc>
        <w:tc>
          <w:tcPr>
            <w:tcW w:w="20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12,600</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42.69</w:t>
            </w:r>
          </w:p>
        </w:tc>
        <w:tc>
          <w:tcPr>
            <w:tcW w:w="3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open market</w:t>
            </w:r>
          </w:p>
        </w:tc>
      </w:tr>
    </w:tbl>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October 3, 2005</w:t>
      </w: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 Richard A. Kayne</w:t>
      </w:r>
    </w:p>
    <w:p>
      <w:pPr>
        <w:ind w:left="220" w:hanging="212"/>
        <w:spacing w:after="0" w:line="238" w:lineRule="auto"/>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Richard A. Kayne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KAYNE ANDERSON CAPITAL ADVISORS, 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Kayne Anderson Investment Management, Inc.</w:t>
      </w:r>
    </w:p>
    <w:p>
      <w:pPr>
        <w:spacing w:after="0" w:line="200" w:lineRule="exact"/>
        <w:rPr>
          <w:sz w:val="20"/>
          <w:szCs w:val="20"/>
          <w:color w:val="auto"/>
        </w:rPr>
      </w:pPr>
    </w:p>
    <w:p>
      <w:pPr>
        <w:spacing w:after="0" w:line="204"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By:</w:t>
        <w:tab/>
        <w:t>/S/ David J. Shladovsky</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David J. Shladovsky, Secretary</w:t>
      </w:r>
    </w:p>
    <w:p>
      <w:pPr>
        <w:sectPr>
          <w:pgSz w:w="11900" w:h="16838" w:orient="portrait"/>
          <w:cols w:equalWidth="0" w:num="1">
            <w:col w:w="10219"/>
          </w:cols>
          <w:pgMar w:left="240" w:top="723" w:right="1440" w:bottom="1440" w:gutter="0" w:footer="0" w:header="0"/>
        </w:sectPr>
      </w:pPr>
    </w:p>
    <w:bookmarkStart w:id="6" w:name="page7"/>
    <w:bookmarkEnd w:id="6"/>
    <w:p>
      <w:pPr>
        <w:ind w:left="1580"/>
        <w:spacing w:after="0"/>
        <w:rPr>
          <w:sz w:val="20"/>
          <w:szCs w:val="20"/>
          <w:color w:val="auto"/>
        </w:rPr>
      </w:pPr>
      <w:r>
        <w:rPr>
          <w:rFonts w:ascii="Courier New" w:cs="Courier New" w:eastAsia="Courier New" w:hAnsi="Courier New"/>
          <w:sz w:val="18"/>
          <w:szCs w:val="18"/>
          <w:color w:val="auto"/>
        </w:rPr>
        <w:t>JOINT FILING AGREEMENT PURSUANT TO RULE 13d-1(f)(1)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agreement is made pursuant to Rule 13d-1(f)(1) under the Securities Exchange Act of 1934 (the "Act") by and between the parties listed below, each referred to herein as a "Joint Filer." The Joint Filers agree that a statement of beneficial ownership as required by Section 13(d) of the Act and the Rules thereunder may be filed on each of their behalf on Schedule 13D or Schedule 13G, as appropriate, and that said joint filing may thereafter be amended by further joint filings. The Joint Filers state that they each satisfy the requirements for making a joint filing under Rule 13d-1.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Richard A. Kayne</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Richard A. Kayne</w:t>
      </w:r>
    </w:p>
    <w:p>
      <w:pPr>
        <w:spacing w:after="0" w:line="200" w:lineRule="exact"/>
        <w:rPr>
          <w:sz w:val="20"/>
          <w:szCs w:val="20"/>
          <w:color w:val="auto"/>
        </w:rPr>
      </w:pP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David J. Shladovsky</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Kayne Anderson Capital Advisors, L.P., by</w:t>
      </w:r>
    </w:p>
    <w:p>
      <w:pPr>
        <w:ind w:left="860"/>
        <w:spacing w:after="0" w:line="237" w:lineRule="auto"/>
        <w:rPr>
          <w:sz w:val="20"/>
          <w:szCs w:val="20"/>
          <w:color w:val="auto"/>
        </w:rPr>
      </w:pPr>
      <w:r>
        <w:rPr>
          <w:rFonts w:ascii="Courier New" w:cs="Courier New" w:eastAsia="Courier New" w:hAnsi="Courier New"/>
          <w:sz w:val="18"/>
          <w:szCs w:val="18"/>
          <w:color w:val="auto"/>
        </w:rPr>
        <w:t>David J. Shladovsky, Secretary of</w:t>
      </w:r>
    </w:p>
    <w:p>
      <w:pPr>
        <w:ind w:left="860"/>
        <w:spacing w:after="0" w:line="238" w:lineRule="auto"/>
        <w:rPr>
          <w:sz w:val="20"/>
          <w:szCs w:val="20"/>
          <w:color w:val="auto"/>
        </w:rPr>
      </w:pPr>
      <w:r>
        <w:rPr>
          <w:rFonts w:ascii="Courier New" w:cs="Courier New" w:eastAsia="Courier New" w:hAnsi="Courier New"/>
          <w:sz w:val="18"/>
          <w:szCs w:val="18"/>
          <w:color w:val="auto"/>
        </w:rPr>
        <w:t>Kayne Anderson Investment Management, Inc.,</w:t>
      </w:r>
    </w:p>
    <w:p>
      <w:pPr>
        <w:ind w:left="860"/>
        <w:spacing w:after="0"/>
        <w:rPr>
          <w:sz w:val="20"/>
          <w:szCs w:val="20"/>
          <w:color w:val="auto"/>
        </w:rPr>
      </w:pPr>
      <w:r>
        <w:rPr>
          <w:rFonts w:ascii="Courier New" w:cs="Courier New" w:eastAsia="Courier New" w:hAnsi="Courier New"/>
          <w:sz w:val="18"/>
          <w:szCs w:val="18"/>
          <w:color w:val="auto"/>
        </w:rPr>
        <w:t>general partner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310"/>
    </w:lvl>
  </w:abstractNum>
  <w:abstractNum w:abstractNumId="1">
    <w:nsid w:val="DED7263"/>
    <w:multiLevelType w:val="hybridMultilevel"/>
    <w:lvl w:ilvl="0">
      <w:lvlJc w:val="left"/>
      <w:lvlText w:val="-"/>
      <w:numFmt w:val="bullet"/>
      <w:start w:val="1"/>
    </w:lvl>
    <w:lvl w:ilvl="1">
      <w:lvlJc w:val="left"/>
      <w:lvlText w:val="%2"/>
      <w:numFmt w:val="decimal"/>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lvl w:ilvl="1">
      <w:lvlJc w:val="left"/>
      <w:lvlText w:val="%2"/>
      <w:numFmt w:val="decimal"/>
      <w:start w:val="10"/>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lvl w:ilvl="1">
      <w:lvlJc w:val="left"/>
      <w:lvlText w:val="%2"/>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lvl w:ilvl="1">
      <w:lvlJc w:val="left"/>
      <w:lvlText w:val="%2"/>
      <w:numFmt w:val="decimal"/>
      <w:start w:val="10"/>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4"/>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3"/>
    </w:lvl>
  </w:abstractNum>
  <w:abstractNum w:abstractNumId="23">
    <w:nsid w:val="79838CB2"/>
    <w:multiLevelType w:val="hybridMultilevel"/>
    <w:lvl w:ilvl="0">
      <w:lvlJc w:val="left"/>
      <w:lvlText w:val="%1."/>
      <w:numFmt w:val="lowerLetter"/>
      <w:start w:val="4"/>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2019-12-16T15:00:19Z</dcterms:created>
  <dcterms:modified xsi:type="dcterms:W3CDTF">2019-12-16T15:00:19Z</dcterms:modified>
</cp:coreProperties>
</file>