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6, 2018</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6, 2018, the Registrant issued a press release reporting its fourth-quarter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8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Exhibit 99.1 — Press Release dated February 6, 2018</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8200" w:type="dxa"/>
            <w:vAlign w:val="bottom"/>
            <w:gridSpan w:val="3"/>
          </w:tcPr>
          <w:p>
            <w:pPr>
              <w:ind w:left="1500"/>
              <w:spacing w:after="0"/>
              <w:rPr>
                <w:sz w:val="20"/>
                <w:szCs w:val="20"/>
                <w:color w:val="auto"/>
              </w:rPr>
            </w:pPr>
            <w:r>
              <w:rPr>
                <w:rFonts w:ascii="Arial" w:cs="Arial" w:eastAsia="Arial" w:hAnsi="Arial"/>
                <w:sz w:val="18"/>
                <w:szCs w:val="18"/>
                <w:color w:val="auto"/>
              </w:rPr>
              <w:t>PLAINS ALL AMERICAN PIPELINE, L.P.</w:t>
            </w:r>
          </w:p>
        </w:tc>
      </w:tr>
      <w:tr>
        <w:trPr>
          <w:trHeight w:val="594"/>
        </w:trPr>
        <w:tc>
          <w:tcPr>
            <w:tcW w:w="3180" w:type="dxa"/>
            <w:vAlign w:val="bottom"/>
          </w:tcPr>
          <w:p>
            <w:pPr>
              <w:spacing w:after="0"/>
              <w:rPr>
                <w:sz w:val="24"/>
                <w:szCs w:val="24"/>
                <w:color w:val="auto"/>
              </w:rPr>
            </w:pPr>
          </w:p>
        </w:tc>
        <w:tc>
          <w:tcPr>
            <w:tcW w:w="8200" w:type="dxa"/>
            <w:vAlign w:val="bottom"/>
            <w:gridSpan w:val="3"/>
          </w:tcPr>
          <w:p>
            <w:pPr>
              <w:ind w:left="1500"/>
              <w:spacing w:after="0"/>
              <w:rPr>
                <w:sz w:val="20"/>
                <w:szCs w:val="20"/>
                <w:color w:val="auto"/>
              </w:rPr>
            </w:pPr>
            <w:r>
              <w:rPr>
                <w:rFonts w:ascii="Arial" w:cs="Arial" w:eastAsia="Arial" w:hAnsi="Arial"/>
                <w:sz w:val="18"/>
                <w:szCs w:val="18"/>
                <w:color w:val="auto"/>
              </w:rPr>
              <w:t>By:  PAA GP LLC, its general partner</w:t>
            </w:r>
          </w:p>
        </w:tc>
      </w:tr>
      <w:tr>
        <w:trPr>
          <w:trHeight w:val="594"/>
        </w:trPr>
        <w:tc>
          <w:tcPr>
            <w:tcW w:w="3180" w:type="dxa"/>
            <w:vAlign w:val="bottom"/>
          </w:tcPr>
          <w:p>
            <w:pPr>
              <w:spacing w:after="0"/>
              <w:rPr>
                <w:sz w:val="24"/>
                <w:szCs w:val="24"/>
                <w:color w:val="auto"/>
              </w:rPr>
            </w:pPr>
          </w:p>
        </w:tc>
        <w:tc>
          <w:tcPr>
            <w:tcW w:w="8200" w:type="dxa"/>
            <w:vAlign w:val="bottom"/>
            <w:gridSpan w:val="3"/>
          </w:tcPr>
          <w:p>
            <w:pPr>
              <w:ind w:left="1500"/>
              <w:spacing w:after="0"/>
              <w:rPr>
                <w:sz w:val="20"/>
                <w:szCs w:val="20"/>
                <w:color w:val="auto"/>
              </w:rPr>
            </w:pPr>
            <w:r>
              <w:rPr>
                <w:rFonts w:ascii="Arial" w:cs="Arial" w:eastAsia="Arial" w:hAnsi="Arial"/>
                <w:sz w:val="18"/>
                <w:szCs w:val="18"/>
                <w:color w:val="auto"/>
              </w:rPr>
              <w:t>By:  PLAINS AAP, L.P., its sole member</w:t>
            </w:r>
          </w:p>
        </w:tc>
      </w:tr>
      <w:tr>
        <w:trPr>
          <w:trHeight w:val="594"/>
        </w:trPr>
        <w:tc>
          <w:tcPr>
            <w:tcW w:w="3180" w:type="dxa"/>
            <w:vAlign w:val="bottom"/>
          </w:tcPr>
          <w:p>
            <w:pPr>
              <w:spacing w:after="0"/>
              <w:rPr>
                <w:sz w:val="24"/>
                <w:szCs w:val="24"/>
                <w:color w:val="auto"/>
              </w:rPr>
            </w:pPr>
          </w:p>
        </w:tc>
        <w:tc>
          <w:tcPr>
            <w:tcW w:w="8200" w:type="dxa"/>
            <w:vAlign w:val="bottom"/>
            <w:gridSpan w:val="3"/>
          </w:tcPr>
          <w:p>
            <w:pPr>
              <w:ind w:left="1500"/>
              <w:spacing w:after="0"/>
              <w:rPr>
                <w:sz w:val="20"/>
                <w:szCs w:val="20"/>
                <w:color w:val="auto"/>
              </w:rPr>
            </w:pPr>
            <w:r>
              <w:rPr>
                <w:rFonts w:ascii="Arial" w:cs="Arial" w:eastAsia="Arial" w:hAnsi="Arial"/>
                <w:sz w:val="18"/>
                <w:szCs w:val="18"/>
                <w:color w:val="auto"/>
              </w:rPr>
              <w:t>By:  PLAINS ALL AMERICAN GP LLC, its general partner</w:t>
            </w:r>
          </w:p>
        </w:tc>
      </w:tr>
      <w:tr>
        <w:trPr>
          <w:trHeight w:val="594"/>
        </w:trPr>
        <w:tc>
          <w:tcPr>
            <w:tcW w:w="3180" w:type="dxa"/>
            <w:vAlign w:val="bottom"/>
          </w:tcPr>
          <w:p>
            <w:pPr>
              <w:spacing w:after="0"/>
              <w:rPr>
                <w:sz w:val="20"/>
                <w:szCs w:val="20"/>
                <w:color w:val="auto"/>
              </w:rPr>
            </w:pPr>
            <w:r>
              <w:rPr>
                <w:rFonts w:ascii="Arial" w:cs="Arial" w:eastAsia="Arial" w:hAnsi="Arial"/>
                <w:sz w:val="18"/>
                <w:szCs w:val="18"/>
                <w:color w:val="auto"/>
              </w:rPr>
              <w:t>Date: February 6, 2018</w:t>
            </w:r>
          </w:p>
        </w:tc>
        <w:tc>
          <w:tcPr>
            <w:tcW w:w="8200" w:type="dxa"/>
            <w:vAlign w:val="bottom"/>
            <w:gridSpan w:val="3"/>
          </w:tcPr>
          <w:p>
            <w:pPr>
              <w:ind w:left="1500"/>
              <w:spacing w:after="0"/>
              <w:rPr>
                <w:sz w:val="20"/>
                <w:szCs w:val="20"/>
                <w:color w:val="auto"/>
              </w:rPr>
            </w:pPr>
            <w:r>
              <w:rPr>
                <w:rFonts w:ascii="Arial" w:cs="Arial" w:eastAsia="Arial" w:hAnsi="Arial"/>
                <w:sz w:val="18"/>
                <w:szCs w:val="18"/>
                <w:color w:val="auto"/>
              </w:rPr>
              <w:t>By:  /s/ Sharon Spurlin</w:t>
            </w:r>
          </w:p>
        </w:tc>
      </w:tr>
      <w:tr>
        <w:trPr>
          <w:trHeight w:val="27"/>
        </w:trPr>
        <w:tc>
          <w:tcPr>
            <w:tcW w:w="3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6"/>
              </w:rPr>
              <w:t>Name:</w:t>
            </w:r>
          </w:p>
        </w:tc>
        <w:tc>
          <w:tcPr>
            <w:tcW w:w="5760" w:type="dxa"/>
            <w:vAlign w:val="bottom"/>
          </w:tcPr>
          <w:p>
            <w:pPr>
              <w:ind w:left="320"/>
              <w:spacing w:after="0"/>
              <w:rPr>
                <w:sz w:val="20"/>
                <w:szCs w:val="20"/>
                <w:color w:val="auto"/>
              </w:rPr>
            </w:pPr>
            <w:r>
              <w:rPr>
                <w:rFonts w:ascii="Arial" w:cs="Arial" w:eastAsia="Arial" w:hAnsi="Arial"/>
                <w:sz w:val="18"/>
                <w:szCs w:val="18"/>
                <w:color w:val="auto"/>
              </w:rPr>
              <w:t>Sharon Spurlin</w:t>
            </w:r>
          </w:p>
        </w:tc>
      </w:tr>
      <w:tr>
        <w:trPr>
          <w:trHeight w:val="270"/>
        </w:trPr>
        <w:tc>
          <w:tcPr>
            <w:tcW w:w="31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Title:</w:t>
            </w:r>
          </w:p>
        </w:tc>
        <w:tc>
          <w:tcPr>
            <w:tcW w:w="5760" w:type="dxa"/>
            <w:vAlign w:val="bottom"/>
          </w:tcPr>
          <w:p>
            <w:pPr>
              <w:ind w:left="320"/>
              <w:spacing w:after="0"/>
              <w:rPr>
                <w:sz w:val="20"/>
                <w:szCs w:val="20"/>
                <w:color w:val="auto"/>
              </w:rPr>
            </w:pPr>
            <w:r>
              <w:rPr>
                <w:rFonts w:ascii="Arial" w:cs="Arial" w:eastAsia="Arial" w:hAnsi="Arial"/>
                <w:sz w:val="18"/>
                <w:szCs w:val="18"/>
                <w:i w:val="1"/>
                <w:iCs w:val="1"/>
                <w:color w:val="auto"/>
              </w:rPr>
              <w:t>Vice President and Treasurer</w:t>
            </w:r>
          </w:p>
        </w:tc>
      </w:tr>
      <w:tr>
        <w:trPr>
          <w:trHeight w:val="702"/>
        </w:trPr>
        <w:tc>
          <w:tcPr>
            <w:tcW w:w="3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tcPr>
          <w:p>
            <w:pPr>
              <w:jc w:val="right"/>
              <w:ind w:right="5570"/>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420"/>
          </w:cols>
          <w:pgMar w:left="240" w:top="66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PAA Also Furnishes 2018 Full-Year Guidance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6, 2018) Plains All American Pipeline, L.P. (NYSE: PAA) and Plains GP Holdings (NYSE: PAGP) today reported fourth-quarter and full-year 2017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and Full-Year 2017 Highlights</w:t>
      </w:r>
    </w:p>
    <w:p>
      <w:pPr>
        <w:spacing w:after="0" w:line="18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Delivered operating and financial performance in line with to slightly ahead of 4Q17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total debt by $1.5 billion during 4Q17; exited 2017 with $3.0 billion of liquidity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Retired $950 million of senior notes</w:t>
      </w:r>
    </w:p>
    <w:p>
      <w:pPr>
        <w:spacing w:after="0" w:line="117" w:lineRule="exact"/>
        <w:rPr>
          <w:rFonts w:ascii="Arial" w:cs="Arial" w:eastAsia="Arial" w:hAnsi="Arial"/>
          <w:sz w:val="18"/>
          <w:szCs w:val="18"/>
          <w:color w:val="auto"/>
        </w:rPr>
      </w:pPr>
    </w:p>
    <w:p>
      <w:pPr>
        <w:ind w:left="1300" w:right="660" w:hanging="320"/>
        <w:spacing w:after="0" w:line="277"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Reduced short-term/inventory debt by ~$200 million compared to September 30, 2017 (~$375 million relative to the June 30, 2017 balance);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~$1.1 billion in targeted asset sales (~$700 million since August 2017); advancing efforts on additional 2018 sales;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construction and placed the new Diamond and STACK JV pipelines into service and completed capacity expansions for the Cactus I and BridgeTex pipelines, adding over 275,000 barrels per day to PAA’s net transportation capacity; and</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Obtained long-term minimum volume commitments (“MVCs”) to sanction construction of the Cactus II pipeline and the extension/looping of the Sunrise pipeline system.</w:t>
      </w:r>
    </w:p>
    <w:p>
      <w:pPr>
        <w:spacing w:after="0" w:line="3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are pleased to report that PAA finished the year on a strong note, having made significant progress on the plans we outlined in August of 2017,” stated Willie Chiang, Executive Vice President and Chief Operating Officer of Plains All American Pipeline.</w:t>
      </w:r>
    </w:p>
    <w:p>
      <w:pPr>
        <w:spacing w:after="0" w:line="170"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“We remain on track to achieve our deleveraging objectives and targeted credit metrics by early 2019 while maintaining substantial distribution coverage underpinned by predominantly fee-based cash flow. Additionally, execution of our capital program, which includes several recently announced Permian projects, and robust Permian fundamentals will drive momentum for PAA’s continued growth in 2018 and beyond.”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Ended</w:t>
            </w:r>
          </w:p>
        </w:tc>
        <w:tc>
          <w:tcPr>
            <w:tcW w:w="104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46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46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24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64"/>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56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Ended</w:t>
            </w:r>
          </w:p>
        </w:tc>
        <w:tc>
          <w:tcPr>
            <w:tcW w:w="104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46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6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2017 and 2016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278</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Fourth-quarter 2017 Transportation segment adjusted EBITDA increased by 27% versus comparable 2016 results. This increase was primarily driven by increased volume on our Permian Basin systems, in addition to contributions from our Eagle Ford JV system, which receives Permian volumes from our Cactus pipeline. This increase was partially offset by a one-time contract settlement in the fourth quarter and the sale of non-core assets in our Rocky Mountain region.</w:t>
      </w:r>
    </w:p>
    <w:p>
      <w:pPr>
        <w:spacing w:after="0" w:line="18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Fourth-quarter 2017 Facilities segment adjusted EBITDA increased by 8% versus comparable 2016 results. This increase was primarily driven by increased NGL storage and fractionation services and higher throughput fees and additional storage capacity at Cushing and Patoka. These increases were partially offset by decreased rail terminal revenue and the impact of a natural gas storage asset sale completed in June 2017.</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Fourth-quarter 2017 Supply and Logistics segment adjusted EBITDA decreased by 39% versus comparable 2016 results due to crude oil and NGL margin compression and reduced arbitrage opportunities.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 (G)</w:t>
            </w: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1,535</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b w:val="1"/>
                <w:bCs w:val="1"/>
                <w:color w:val="auto"/>
              </w:rPr>
              <w:t>Fee-based</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1,808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2,200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7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46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2,169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8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4"/>
        </w:trPr>
        <w:tc>
          <w:tcPr>
            <w:tcW w:w="478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1,414</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100" w:type="dxa"/>
            <w:vAlign w:val="bottom"/>
          </w:tcPr>
          <w:p>
            <w:pPr>
              <w:spacing w:after="0"/>
              <w:rPr>
                <w:sz w:val="22"/>
                <w:szCs w:val="22"/>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1,635</w:t>
            </w:r>
          </w:p>
        </w:tc>
      </w:tr>
      <w:tr>
        <w:trPr>
          <w:trHeight w:val="270"/>
        </w:trPr>
        <w:tc>
          <w:tcPr>
            <w:tcW w:w="47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Preferred unit cash distributions paid </w:t>
            </w:r>
            <w:r>
              <w:rPr>
                <w:rFonts w:ascii="Arial" w:cs="Arial" w:eastAsia="Arial" w:hAnsi="Arial"/>
                <w:sz w:val="25"/>
                <w:szCs w:val="25"/>
                <w:color w:val="auto"/>
                <w:vertAlign w:val="superscript"/>
              </w:rPr>
              <w:t>(3)</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General partner cash distributions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Implied DCF Available to Common Unitholders</w:t>
            </w:r>
          </w:p>
        </w:tc>
        <w:tc>
          <w:tcPr>
            <w:tcW w:w="46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5"/>
                <w:szCs w:val="25"/>
                <w:b w:val="1"/>
                <w:bCs w:val="1"/>
                <w:color w:val="auto"/>
                <w:vertAlign w:val="superscript"/>
              </w:rPr>
              <w:t>(1)</w:t>
            </w:r>
          </w:p>
        </w:tc>
        <w:tc>
          <w:tcPr>
            <w:tcW w:w="46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70"/>
        </w:trPr>
        <w:tc>
          <w:tcPr>
            <w:tcW w:w="524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5"/>
                <w:szCs w:val="25"/>
                <w:b w:val="1"/>
                <w:bCs w:val="1"/>
                <w:color w:val="auto"/>
                <w:w w:val="95"/>
                <w:vertAlign w:val="superscript"/>
              </w:rPr>
              <w:t>(1)</w:t>
            </w: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324"/>
        </w:trPr>
        <w:tc>
          <w:tcPr>
            <w:tcW w:w="4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5"/>
                <w:szCs w:val="25"/>
                <w:b w:val="1"/>
                <w:bCs w:val="1"/>
                <w:color w:val="auto"/>
                <w:vertAlign w:val="superscript"/>
              </w:rPr>
              <w:t>(4)</w:t>
            </w:r>
          </w:p>
        </w:tc>
        <w:tc>
          <w:tcPr>
            <w:tcW w:w="460" w:type="dxa"/>
            <w:vAlign w:val="bottom"/>
          </w:tcPr>
          <w:p>
            <w:pPr>
              <w:spacing w:after="0"/>
              <w:rPr>
                <w:sz w:val="23"/>
                <w:szCs w:val="23"/>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Unit Distribution Coverage Ratio</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0.87x</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0.94x</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1.70x</w:t>
            </w:r>
          </w:p>
        </w:tc>
      </w:tr>
      <w:tr>
        <w:trPr>
          <w:trHeight w:val="324"/>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Transportation</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daily volumes (MBbls/d)</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0.71</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Facilities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capacity (MMBbls/Mo)</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0.44</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daily volumes (MBbls/d)</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Expansion Capital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1,405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1,135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1,400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w w:val="95"/>
              </w:rPr>
              <w:t>First-Quarter Adjusted EBITDA as Percentage of Full Year</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25%</w:t>
            </w:r>
          </w:p>
        </w:tc>
      </w:tr>
      <w:tr>
        <w:trPr>
          <w:trHeight w:val="486"/>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2"/>
          </w:tcPr>
          <w:p>
            <w:pPr>
              <w:jc w:val="right"/>
              <w:ind w:right="1350"/>
              <w:spacing w:after="0"/>
              <w:rPr>
                <w:sz w:val="20"/>
                <w:szCs w:val="20"/>
                <w:color w:val="auto"/>
              </w:rPr>
            </w:pPr>
            <w:r>
              <w:rPr>
                <w:rFonts w:ascii="Arial" w:cs="Arial" w:eastAsia="Arial" w:hAnsi="Arial"/>
                <w:sz w:val="18"/>
                <w:szCs w:val="18"/>
                <w:color w:val="auto"/>
              </w:rPr>
              <w:t>- more -</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7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spacing w:after="0"/>
              <w:rPr>
                <w:sz w:val="21"/>
                <w:szCs w:val="21"/>
                <w:color w:val="auto"/>
              </w:rPr>
            </w:pPr>
          </w:p>
        </w:tc>
        <w:tc>
          <w:tcPr>
            <w:tcW w:w="2820" w:type="dxa"/>
            <w:vAlign w:val="bottom"/>
            <w:tcBorders>
              <w:bottom w:val="single" w:sz="8" w:color="auto"/>
            </w:tcBorders>
            <w:gridSpan w:val="6"/>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345"/>
        </w:trPr>
        <w:tc>
          <w:tcPr>
            <w:tcW w:w="4780" w:type="dxa"/>
            <w:vAlign w:val="bottom"/>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6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96"/>
              </w:rPr>
              <w:t>Houston, Texas 77002</w:t>
            </w:r>
          </w:p>
        </w:tc>
        <w:tc>
          <w:tcPr>
            <w:tcW w:w="28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(G) 2018 Guidance forecasts are intended to be + / - amounts.</w:t>
      </w:r>
    </w:p>
    <w:p>
      <w:pPr>
        <w:spacing w:after="0" w:line="167" w:lineRule="exact"/>
        <w:rPr>
          <w:sz w:val="20"/>
          <w:szCs w:val="20"/>
          <w:color w:val="auto"/>
        </w:rPr>
      </w:pPr>
    </w:p>
    <w:p>
      <w:pPr>
        <w:ind w:left="340" w:right="120" w:hanging="332"/>
        <w:spacing w:after="0" w:line="279" w:lineRule="auto"/>
        <w:tabs>
          <w:tab w:leader="none" w:pos="34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127"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98" w:lineRule="exact"/>
        <w:rPr>
          <w:rFonts w:ascii="Arial" w:cs="Arial" w:eastAsia="Arial" w:hAnsi="Arial"/>
          <w:sz w:val="22"/>
          <w:szCs w:val="22"/>
          <w:color w:val="auto"/>
          <w:vertAlign w:val="superscript"/>
        </w:rPr>
      </w:pPr>
    </w:p>
    <w:p>
      <w:pPr>
        <w:ind w:left="340" w:right="180" w:hanging="332"/>
        <w:spacing w:after="0" w:line="230"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Cash distributions paid to our preferred unitholders during the year presented. The distribution requirement of our Series A preferred units was paid-in-kind for all 2016 and 2017 quarterly distributions.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Cash distributions per common unit paid during 2016 and 2017. 2018(G) reflects the current distribution rate held constant.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Q4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Q3 2017</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Q4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Q4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Additionally, following the enactment of the Tax Cuts and Jobs Act of 2017 and the resulting decrease in the federal income tax rate from 35% to 21%, in the fourth quarter of 2017 PAGP re-measured its deferred tax asset and recorded deferred income tax expense of $823 million. This re-measurement is non-cash and does not affect the timing of when PAGP is expected to pay taxes, which we do not currently expect to occur within the next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10:00 a.m. CT on Wednesday, February 7,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fourth-quarter 2017 and full-year 2017 performance;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6EBF"/>
        </w:rPr>
        <w:t>https://event.webcasts.com/starthere.jsp?ei=1176062&amp;tp</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implied DCF available to common unitholders; implied DCF per common unit; and implied DCF per common unit and common equivalent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impact of current and future laws, rulings, governmental regulations, accounting standards and statements, and related interpretations;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Three Months Ended December</w:t>
            </w: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Twelve Months Ended December</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center"/>
              <w:ind w:right="11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18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7"/>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9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19,188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21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30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w w:val="99"/>
              </w:rPr>
              <w:t>Net income allocated to common unitholders — Diluted</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6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Three Months Ended December</w:t>
            </w: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Twelve Months Ended December</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center"/>
              <w:ind w:right="11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gridSpan w:val="2"/>
          </w:tcPr>
          <w:p>
            <w:pPr>
              <w:jc w:val="right"/>
              <w:ind w:right="694"/>
              <w:spacing w:after="0"/>
              <w:rPr>
                <w:sz w:val="20"/>
                <w:szCs w:val="20"/>
                <w:color w:val="auto"/>
              </w:rPr>
            </w:pPr>
            <w:r>
              <w:rPr>
                <w:rFonts w:ascii="Arial" w:cs="Arial" w:eastAsia="Arial" w:hAnsi="Arial"/>
                <w:sz w:val="18"/>
                <w:szCs w:val="18"/>
                <w:color w:val="auto"/>
              </w:rPr>
              <w:t>- more -</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2"/>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60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180" w:type="dxa"/>
            <w:vAlign w:val="bottom"/>
            <w:gridSpan w:val="2"/>
          </w:tcPr>
          <w:p>
            <w:pPr>
              <w:jc w:val="right"/>
              <w:ind w:right="74"/>
              <w:spacing w:after="0"/>
              <w:rPr>
                <w:sz w:val="20"/>
                <w:szCs w:val="20"/>
                <w:color w:val="auto"/>
              </w:rPr>
            </w:pPr>
            <w:r>
              <w:rPr>
                <w:rFonts w:ascii="Arial" w:cs="Arial" w:eastAsia="Arial" w:hAnsi="Arial"/>
                <w:sz w:val="18"/>
                <w:szCs w:val="18"/>
                <w:b w:val="1"/>
                <w:bCs w:val="1"/>
                <w:color w:val="auto"/>
              </w:rPr>
              <w:t>Houston, Texas 77002</w:t>
            </w:r>
          </w:p>
        </w:tc>
        <w:tc>
          <w:tcPr>
            <w:tcW w:w="860" w:type="dxa"/>
            <w:vAlign w:val="bottom"/>
          </w:tcPr>
          <w:p>
            <w:pPr>
              <w:spacing w:after="0"/>
              <w:rPr>
                <w:sz w:val="24"/>
                <w:szCs w:val="24"/>
                <w:color w:val="auto"/>
              </w:rPr>
            </w:pPr>
          </w:p>
        </w:tc>
        <w:tc>
          <w:tcPr>
            <w:tcW w:w="2500" w:type="dxa"/>
            <w:vAlign w:val="bottom"/>
            <w:gridSpan w:val="7"/>
          </w:tcPr>
          <w:p>
            <w:pPr>
              <w:jc w:val="right"/>
              <w:ind w:right="171"/>
              <w:spacing w:after="0"/>
              <w:rPr>
                <w:sz w:val="20"/>
                <w:szCs w:val="20"/>
                <w:color w:val="auto"/>
              </w:rPr>
            </w:pPr>
            <w:r>
              <w:rPr>
                <w:rFonts w:ascii="Arial" w:cs="Arial" w:eastAsia="Arial" w:hAnsi="Arial"/>
                <w:sz w:val="18"/>
                <w:szCs w:val="18"/>
                <w:b w:val="1"/>
                <w:bCs w:val="1"/>
                <w:color w:val="auto"/>
                <w:w w:val="92"/>
              </w:rPr>
              <w:t>713-646-4100 / 866-809-1291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1"/>
                <w:szCs w:val="21"/>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Pr>
          <w:p>
            <w:pPr>
              <w:spacing w:after="0"/>
              <w:rPr>
                <w:sz w:val="21"/>
                <w:szCs w:val="21"/>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December 31, 2017</w:t>
            </w:r>
          </w:p>
        </w:tc>
        <w:tc>
          <w:tcPr>
            <w:tcW w:w="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9,183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9,920</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20,141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20,878</w:t>
            </w:r>
          </w:p>
        </w:tc>
        <w:tc>
          <w:tcPr>
            <w:tcW w:w="80" w:type="dxa"/>
            <w:vAlign w:val="bottom"/>
          </w:tcPr>
          <w:p>
            <w:pPr>
              <w:spacing w:after="0"/>
              <w:rPr>
                <w:sz w:val="24"/>
                <w:szCs w:val="24"/>
                <w:color w:val="auto"/>
              </w:rPr>
            </w:pPr>
          </w:p>
        </w:tc>
        <w:tc>
          <w:tcPr>
            <w:tcW w:w="520" w:type="dxa"/>
            <w:vAlign w:val="bottom"/>
            <w:gridSpan w:val="3"/>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20" w:hanging="332"/>
        <w:spacing w:after="0" w:line="22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and 2016, short-term debt includes borrowings of approximately $523 million and $1,303 million, respectively, for short-term hedged inventory purchases and borrowings of approximately $212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5"/>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3"/>
          </w:tcPr>
          <w:p>
            <w:pPr>
              <w:jc w:val="right"/>
              <w:ind w:right="1010"/>
              <w:spacing w:after="0"/>
              <w:rPr>
                <w:sz w:val="20"/>
                <w:szCs w:val="20"/>
                <w:color w:val="auto"/>
              </w:rPr>
            </w:pPr>
            <w:r>
              <w:rPr>
                <w:rFonts w:ascii="Arial" w:cs="Arial" w:eastAsia="Arial" w:hAnsi="Arial"/>
                <w:sz w:val="16"/>
                <w:szCs w:val="16"/>
                <w:b w:val="1"/>
                <w:bCs w:val="1"/>
                <w:color w:val="auto"/>
                <w:w w:val="98"/>
              </w:rPr>
              <w:t>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990"/>
              <w:spacing w:after="0"/>
              <w:rPr>
                <w:sz w:val="20"/>
                <w:szCs w:val="20"/>
                <w:color w:val="auto"/>
              </w:rPr>
            </w:pPr>
            <w:r>
              <w:rPr>
                <w:rFonts w:ascii="Arial" w:cs="Arial" w:eastAsia="Arial" w:hAnsi="Arial"/>
                <w:sz w:val="16"/>
                <w:szCs w:val="16"/>
                <w:b w:val="1"/>
                <w:bCs w:val="1"/>
                <w:color w:val="auto"/>
                <w:w w:val="98"/>
              </w:rPr>
              <w:t>31,</w:t>
            </w:r>
          </w:p>
        </w:tc>
      </w:tr>
      <w:tr>
        <w:trPr>
          <w:trHeight w:val="33"/>
        </w:trPr>
        <w:tc>
          <w:tcPr>
            <w:tcW w:w="6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3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32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3,219</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2,146</w:t>
            </w: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394</w:t>
            </w: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449</w:t>
            </w: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4,339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Liquids storage (average monthly capacity in millions of barrels)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0"/>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57"/>
        </w:trPr>
        <w:tc>
          <w:tcPr>
            <w:tcW w:w="65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5"/>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day):</w:t>
            </w: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Crude oil lease gathering purchases</w:t>
            </w:r>
          </w:p>
        </w:tc>
        <w:tc>
          <w:tcPr>
            <w:tcW w:w="1080" w:type="dxa"/>
            <w:vAlign w:val="bottom"/>
          </w:tcPr>
          <w:p>
            <w:pPr>
              <w:jc w:val="right"/>
              <w:spacing w:after="0"/>
              <w:rPr>
                <w:sz w:val="20"/>
                <w:szCs w:val="20"/>
                <w:color w:val="auto"/>
              </w:rPr>
            </w:pPr>
            <w:r>
              <w:rPr>
                <w:rFonts w:ascii="Arial" w:cs="Arial" w:eastAsia="Arial" w:hAnsi="Arial"/>
                <w:sz w:val="18"/>
                <w:szCs w:val="18"/>
                <w:color w:val="auto"/>
              </w:rPr>
              <w:t>994</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sales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Supply and Logistics segment total volumes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r>
      <w:tr>
        <w:trPr>
          <w:trHeight w:val="20"/>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ind w:left="340" w:hanging="332"/>
        <w:spacing w:after="0" w:line="201"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25"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5"/>
                <w:szCs w:val="25"/>
                <w:color w:val="auto"/>
                <w:vertAlign w:val="superscript"/>
              </w:rPr>
              <w:t>(3)</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right="40" w:hanging="332"/>
        <w:spacing w:after="0" w:line="229"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5" w:lineRule="exact"/>
        <w:rPr>
          <w:rFonts w:ascii="Arial" w:cs="Arial" w:eastAsia="Arial" w:hAnsi="Arial"/>
          <w:sz w:val="28"/>
          <w:szCs w:val="28"/>
          <w:color w:val="auto"/>
          <w:vertAlign w:val="superscript"/>
        </w:rPr>
      </w:pPr>
    </w:p>
    <w:p>
      <w:pPr>
        <w:jc w:val="both"/>
        <w:ind w:left="340" w:right="260" w:hanging="332"/>
        <w:spacing w:after="0"/>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0" w:lineRule="exact"/>
        <w:rPr>
          <w:rFonts w:ascii="Arial" w:cs="Arial" w:eastAsia="Arial" w:hAnsi="Arial"/>
          <w:sz w:val="24"/>
          <w:szCs w:val="24"/>
          <w:color w:val="auto"/>
          <w:vertAlign w:val="superscript"/>
        </w:rPr>
      </w:pPr>
    </w:p>
    <w:p>
      <w:pPr>
        <w:ind w:left="340" w:right="540" w:hanging="332"/>
        <w:spacing w:after="0" w:line="194"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the three and twelve months ended December 31, 2017 and 2016 as the effect was antidilutive.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51"/>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 (2)</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Net loss on foreign currency revaluation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Field operating costs and Segment general and administrative expenses include equity-indexed compensation expense.</w:t>
      </w:r>
    </w:p>
    <w:p>
      <w:pPr>
        <w:spacing w:after="0" w:line="56" w:lineRule="exact"/>
        <w:rPr>
          <w:rFonts w:ascii="Arial" w:cs="Arial" w:eastAsia="Arial" w:hAnsi="Arial"/>
          <w:sz w:val="24"/>
          <w:szCs w:val="24"/>
          <w:color w:val="auto"/>
          <w:vertAlign w:val="superscript"/>
        </w:rPr>
      </w:pPr>
    </w:p>
    <w:p>
      <w:pPr>
        <w:ind w:left="340" w:right="260" w:hanging="332"/>
        <w:spacing w:after="0" w:line="236"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0" w:lineRule="exact"/>
        <w:rPr>
          <w:rFonts w:ascii="Arial" w:cs="Arial" w:eastAsia="Arial" w:hAnsi="Arial"/>
          <w:sz w:val="22"/>
          <w:szCs w:val="22"/>
          <w:color w:val="auto"/>
          <w:vertAlign w:val="superscript"/>
        </w:rPr>
      </w:pPr>
    </w:p>
    <w:p>
      <w:pPr>
        <w:ind w:left="340" w:right="40" w:hanging="332"/>
        <w:spacing w:after="0" w:line="22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6"/>
          </w:tcPr>
          <w:p>
            <w:pPr>
              <w:jc w:val="center"/>
              <w:ind w:right="50"/>
              <w:spacing w:after="0"/>
              <w:rPr>
                <w:sz w:val="20"/>
                <w:szCs w:val="20"/>
                <w:color w:val="auto"/>
              </w:rPr>
            </w:pPr>
            <w:r>
              <w:rPr>
                <w:rFonts w:ascii="Arial" w:cs="Arial" w:eastAsia="Arial" w:hAnsi="Arial"/>
                <w:sz w:val="16"/>
                <w:szCs w:val="16"/>
                <w:b w:val="1"/>
                <w:bCs w:val="1"/>
                <w:color w:val="auto"/>
                <w:w w:val="92"/>
              </w:rPr>
              <w:t>Twelve Months Ended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6"/>
          </w:tcPr>
          <w:p>
            <w:pPr>
              <w:jc w:val="center"/>
              <w:ind w:right="50"/>
              <w:spacing w:after="0"/>
              <w:rPr>
                <w:sz w:val="20"/>
                <w:szCs w:val="20"/>
                <w:color w:val="auto"/>
              </w:rPr>
            </w:pPr>
            <w:r>
              <w:rPr>
                <w:rFonts w:ascii="Arial" w:cs="Arial" w:eastAsia="Arial" w:hAnsi="Arial"/>
                <w:sz w:val="16"/>
                <w:szCs w:val="16"/>
                <w:b w:val="1"/>
                <w:bCs w:val="1"/>
                <w:color w:val="auto"/>
                <w:w w:val="92"/>
              </w:rPr>
              <w:t>Twelve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51"/>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25,065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(24,557)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 (2)</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Field operating costs and Segment general and administrative expenses include equity-indexed compensation expense.</w:t>
      </w:r>
    </w:p>
    <w:p>
      <w:pPr>
        <w:spacing w:after="0" w:line="56" w:lineRule="exact"/>
        <w:rPr>
          <w:rFonts w:ascii="Arial" w:cs="Arial" w:eastAsia="Arial" w:hAnsi="Arial"/>
          <w:sz w:val="24"/>
          <w:szCs w:val="24"/>
          <w:color w:val="auto"/>
          <w:vertAlign w:val="superscript"/>
        </w:rPr>
      </w:pPr>
    </w:p>
    <w:p>
      <w:pPr>
        <w:ind w:left="340" w:right="260" w:hanging="332"/>
        <w:spacing w:after="0" w:line="236"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0" w:lineRule="exact"/>
        <w:rPr>
          <w:rFonts w:ascii="Arial" w:cs="Arial" w:eastAsia="Arial" w:hAnsi="Arial"/>
          <w:sz w:val="22"/>
          <w:szCs w:val="22"/>
          <w:color w:val="auto"/>
          <w:vertAlign w:val="superscript"/>
        </w:rPr>
      </w:pPr>
    </w:p>
    <w:p>
      <w:pPr>
        <w:ind w:left="340" w:right="30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loss on early repayment of senior notes </w:t>
            </w:r>
            <w:r>
              <w:rPr>
                <w:rFonts w:ascii="Arial" w:cs="Arial" w:eastAsia="Arial" w:hAnsi="Arial"/>
                <w:sz w:val="25"/>
                <w:szCs w:val="25"/>
                <w:color w:val="auto"/>
                <w:vertAlign w:val="superscript"/>
              </w:rPr>
              <w:t>(9)</w:t>
            </w:r>
          </w:p>
        </w:tc>
        <w:tc>
          <w:tcPr>
            <w:tcW w:w="7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6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7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11"/>
          <w:szCs w:val="11"/>
          <w:color w:val="auto"/>
        </w:rPr>
      </w:pPr>
    </w:p>
    <w:p>
      <w:pPr>
        <w:ind w:left="340" w:right="60" w:hanging="332"/>
        <w:spacing w:after="0" w:line="328"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1"/>
          <w:szCs w:val="11"/>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ind w:left="340" w:right="20" w:hanging="332"/>
        <w:spacing w:after="0" w:line="273"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2" w:lineRule="exact"/>
        <w:rPr>
          <w:rFonts w:ascii="Arial" w:cs="Arial" w:eastAsia="Arial" w:hAnsi="Arial"/>
          <w:sz w:val="10"/>
          <w:szCs w:val="10"/>
          <w:color w:val="auto"/>
        </w:rPr>
      </w:pPr>
    </w:p>
    <w:p>
      <w:pPr>
        <w:ind w:left="340" w:right="40" w:hanging="332"/>
        <w:spacing w:after="0" w:line="265"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10"/>
          <w:szCs w:val="10"/>
          <w:color w:val="auto"/>
        </w:rPr>
      </w:pPr>
    </w:p>
    <w:p>
      <w:pPr>
        <w:jc w:val="both"/>
        <w:ind w:left="340" w:hanging="332"/>
        <w:spacing w:after="0" w:line="333"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1"/>
          <w:szCs w:val="11"/>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ind w:left="340" w:right="180" w:hanging="332"/>
        <w:spacing w:after="0" w:line="260"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9"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Includes acquisition-related expenses associated with the Alpha Crude Connector acquisition.</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Includes net losses incurred in connection with the early redemption of our (i) $600 million, 6.50% senior notes due May 2018 and (ii) $350 million, 8.75% senior notes due May 2019.</w:t>
      </w:r>
    </w:p>
    <w:p>
      <w:pPr>
        <w:spacing w:after="0" w:line="253" w:lineRule="exact"/>
        <w:rPr>
          <w:rFonts w:ascii="Arial" w:cs="Arial" w:eastAsia="Arial" w:hAnsi="Arial"/>
          <w:sz w:val="10"/>
          <w:szCs w:val="10"/>
          <w:color w:val="auto"/>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Twelve Months Ended December 31,</w:t>
            </w:r>
          </w:p>
        </w:tc>
      </w:tr>
      <w:tr>
        <w:trPr>
          <w:trHeight w:val="264"/>
        </w:trPr>
        <w:tc>
          <w:tcPr>
            <w:tcW w:w="6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to Adjusted EBITDA and Implied DCF Reconciliation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730</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2,169</w:t>
            </w:r>
          </w:p>
        </w:tc>
      </w:tr>
      <w:tr>
        <w:trPr>
          <w:trHeight w:val="244"/>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Interest expense, net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Maintenance capital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Adjusted equity earnings in unconsolidated entities, net of distributions </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Implied DCF </w:t>
            </w:r>
            <w:r>
              <w:rPr>
                <w:rFonts w:ascii="Arial" w:cs="Arial" w:eastAsia="Arial" w:hAnsi="Arial"/>
                <w:sz w:val="21"/>
                <w:szCs w:val="21"/>
                <w:color w:val="auto"/>
                <w:vertAlign w:val="superscript"/>
              </w:rPr>
              <w:t>(5)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1,414</w:t>
            </w:r>
          </w:p>
        </w:tc>
      </w:tr>
      <w:tr>
        <w:trPr>
          <w:trHeight w:val="270"/>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Preferred unit cash distributions </w:t>
            </w:r>
            <w:r>
              <w:rPr>
                <w:rFonts w:ascii="Arial" w:cs="Arial" w:eastAsia="Arial" w:hAnsi="Arial"/>
                <w:sz w:val="21"/>
                <w:szCs w:val="21"/>
                <w:color w:val="auto"/>
                <w:vertAlign w:val="superscript"/>
              </w:rPr>
              <w:t>(6)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General partner cash distributions </w:t>
            </w:r>
            <w:r>
              <w:rPr>
                <w:rFonts w:ascii="Arial" w:cs="Arial" w:eastAsia="Arial" w:hAnsi="Arial"/>
                <w:sz w:val="21"/>
                <w:szCs w:val="21"/>
                <w:color w:val="auto"/>
                <w:vertAlign w:val="superscript"/>
              </w:rPr>
              <w:t>(7)</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4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Implied DCF Available to Common Unitholders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Implied DCF per Common Unit and Common Equivalent Unit </w:t>
            </w:r>
            <w:r>
              <w:rPr>
                <w:rFonts w:ascii="Arial" w:cs="Arial" w:eastAsia="Arial" w:hAnsi="Arial"/>
                <w:sz w:val="21"/>
                <w:szCs w:val="21"/>
                <w:color w:val="auto"/>
                <w:vertAlign w:val="superscript"/>
              </w:rPr>
              <w:t>(9)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3"/>
                <w:szCs w:val="23"/>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189"/>
        </w:trPr>
        <w:tc>
          <w:tcPr>
            <w:tcW w:w="6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Distribution Paid per Common Unit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Common Unit Distribution Coverage Ratio</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1.92x</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1.12x</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0.94x</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0.87x</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6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Implied DCF Excess / (Shortage)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Adjustment to add back our proportionate share of depreciation and amortization expense and gains or losses on significant asset sales of unconsolidated entities.</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55" w:lineRule="exact"/>
        <w:rPr>
          <w:rFonts w:ascii="Arial" w:cs="Arial" w:eastAsia="Arial" w:hAnsi="Arial"/>
          <w:sz w:val="11"/>
          <w:szCs w:val="11"/>
          <w:color w:val="auto"/>
        </w:rPr>
      </w:pPr>
    </w:p>
    <w:p>
      <w:pPr>
        <w:ind w:left="340" w:right="4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29" w:lineRule="exact"/>
        <w:rPr>
          <w:rFonts w:ascii="Arial" w:cs="Arial" w:eastAsia="Arial" w:hAnsi="Arial"/>
          <w:sz w:val="11"/>
          <w:szCs w:val="11"/>
          <w:color w:val="auto"/>
        </w:rPr>
      </w:pPr>
    </w:p>
    <w:p>
      <w:pPr>
        <w:ind w:left="340" w:right="2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Including net costs recognized during the periods related to the Line 901 incident that occurred in May 2015, Implied DCF would have been $404 million and $1,280 million for the three and twelve months ended December 31, 2017, respectively.</w:t>
      </w:r>
    </w:p>
    <w:p>
      <w:pPr>
        <w:spacing w:after="0" w:line="29" w:lineRule="exact"/>
        <w:rPr>
          <w:rFonts w:ascii="Arial" w:cs="Arial" w:eastAsia="Arial" w:hAnsi="Arial"/>
          <w:sz w:val="11"/>
          <w:szCs w:val="11"/>
          <w:color w:val="auto"/>
        </w:rPr>
      </w:pPr>
    </w:p>
    <w:p>
      <w:pPr>
        <w:ind w:left="340" w:right="40" w:hanging="332"/>
        <w:spacing w:after="0" w:line="273" w:lineRule="auto"/>
        <w:tabs>
          <w:tab w:leader="none" w:pos="340" w:val="left"/>
        </w:tabs>
        <w:numPr>
          <w:ilvl w:val="0"/>
          <w:numId w:val="11"/>
        </w:numPr>
        <w:rPr>
          <w:rFonts w:ascii="Arial" w:cs="Arial" w:eastAsia="Arial" w:hAnsi="Arial"/>
          <w:sz w:val="10"/>
          <w:szCs w:val="10"/>
          <w:color w:val="auto"/>
        </w:rPr>
      </w:pPr>
      <w:r>
        <w:rPr>
          <w:rFonts w:ascii="Arial" w:cs="Arial" w:eastAsia="Arial" w:hAnsi="Arial"/>
          <w:sz w:val="13"/>
          <w:szCs w:val="13"/>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22" w:lineRule="exact"/>
        <w:rPr>
          <w:rFonts w:ascii="Arial" w:cs="Arial" w:eastAsia="Arial" w:hAnsi="Arial"/>
          <w:sz w:val="10"/>
          <w:szCs w:val="10"/>
          <w:color w:val="auto"/>
        </w:rPr>
      </w:pPr>
    </w:p>
    <w:p>
      <w:pPr>
        <w:ind w:left="340" w:right="1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29" w:lineRule="exact"/>
        <w:rPr>
          <w:rFonts w:ascii="Arial" w:cs="Arial" w:eastAsia="Arial" w:hAnsi="Arial"/>
          <w:sz w:val="11"/>
          <w:szCs w:val="11"/>
          <w:color w:val="auto"/>
        </w:rPr>
      </w:pPr>
    </w:p>
    <w:p>
      <w:pPr>
        <w:ind w:left="340" w:right="38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Implied DCF Available to Common Unitholders for the period divided by the weighted average common units outstanding for the periods of 725 million, 660 million, 717 million and 464 million, respectively.</w:t>
      </w:r>
    </w:p>
    <w:p>
      <w:pPr>
        <w:spacing w:after="0" w:line="29" w:lineRule="exact"/>
        <w:rPr>
          <w:rFonts w:ascii="Arial" w:cs="Arial" w:eastAsia="Arial" w:hAnsi="Arial"/>
          <w:sz w:val="11"/>
          <w:szCs w:val="11"/>
          <w:color w:val="auto"/>
        </w:rPr>
      </w:pPr>
    </w:p>
    <w:p>
      <w:pPr>
        <w:ind w:left="340" w:right="20" w:hanging="332"/>
        <w:spacing w:after="0" w:line="279" w:lineRule="auto"/>
        <w:tabs>
          <w:tab w:leader="none" w:pos="340" w:val="left"/>
        </w:tabs>
        <w:numPr>
          <w:ilvl w:val="0"/>
          <w:numId w:val="11"/>
        </w:numPr>
        <w:rPr>
          <w:rFonts w:ascii="Arial" w:cs="Arial" w:eastAsia="Arial" w:hAnsi="Arial"/>
          <w:sz w:val="10"/>
          <w:szCs w:val="10"/>
          <w:color w:val="auto"/>
        </w:rPr>
      </w:pPr>
      <w:r>
        <w:rPr>
          <w:rFonts w:ascii="Arial" w:cs="Arial" w:eastAsia="Arial" w:hAnsi="Arial"/>
          <w:sz w:val="13"/>
          <w:szCs w:val="13"/>
          <w:color w:val="auto"/>
        </w:rPr>
        <w:t>Implied DCF Available to Common Unitholders for the period, adjusted for Series A preferred unit cash distributions paid (if any), divided by the weighted average common units and common equivalent units outstanding for the periods of 794 million, 724 million,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8" w:lineRule="exact"/>
        <w:rPr>
          <w:rFonts w:ascii="Arial" w:cs="Arial" w:eastAsia="Arial" w:hAnsi="Arial"/>
          <w:sz w:val="10"/>
          <w:szCs w:val="10"/>
          <w:color w:val="auto"/>
        </w:rPr>
      </w:pPr>
    </w:p>
    <w:p>
      <w:pPr>
        <w:ind w:left="340" w:right="2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Cash distributions paid during the period presented. For the three and twelve months ended December 31, 2016, includes $101 million and $565 million, respectively, of cash distributions paid to the general partner during the period.</w:t>
      </w:r>
    </w:p>
    <w:p>
      <w:pPr>
        <w:spacing w:after="0" w:line="216" w:lineRule="exact"/>
        <w:rPr>
          <w:rFonts w:ascii="Arial" w:cs="Arial" w:eastAsia="Arial" w:hAnsi="Arial"/>
          <w:sz w:val="11"/>
          <w:szCs w:val="11"/>
          <w:color w:val="auto"/>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2480" w:type="dxa"/>
            <w:vAlign w:val="bottom"/>
            <w:gridSpan w:val="7"/>
          </w:tcPr>
          <w:p>
            <w:pPr>
              <w:ind w:left="8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r>
      <w:tr>
        <w:trPr>
          <w:trHeight w:val="3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r>
      <w:tr>
        <w:trPr>
          <w:trHeight w:val="33"/>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4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6"/>
              </w:rPr>
              <w:t>Net Income Per Common Unit to Implied DCF Per Common Unit and Common</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Equivalent Unit 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0.43</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5"/>
                <w:szCs w:val="25"/>
                <w:color w:val="auto"/>
                <w:vertAlign w:val="superscript"/>
              </w:rPr>
              <w:t>(1) (2)</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97"/>
        </w:trPr>
        <w:tc>
          <w:tcPr>
            <w:tcW w:w="6460" w:type="dxa"/>
            <w:vAlign w:val="bottom"/>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1.83</w:t>
            </w:r>
          </w:p>
        </w:tc>
      </w:tr>
      <w:tr>
        <w:trPr>
          <w:trHeight w:val="284"/>
        </w:trPr>
        <w:tc>
          <w:tcPr>
            <w:tcW w:w="64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0.43</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5"/>
                <w:szCs w:val="25"/>
                <w:color w:val="auto"/>
                <w:vertAlign w:val="superscript"/>
              </w:rPr>
              <w:t>(1) (3)</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1.63</w:t>
            </w:r>
          </w:p>
        </w:tc>
      </w:tr>
      <w:tr>
        <w:trPr>
          <w:trHeight w:val="20"/>
        </w:trPr>
        <w:tc>
          <w:tcPr>
            <w:tcW w:w="6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Based on weighted average common units outstanding for the period of 725 million, 660 million, 717 million and 464 million, respectively.</w:t>
      </w:r>
    </w:p>
    <w:p>
      <w:pPr>
        <w:spacing w:after="0" w:line="56" w:lineRule="exact"/>
        <w:rPr>
          <w:rFonts w:ascii="Arial" w:cs="Arial" w:eastAsia="Arial" w:hAnsi="Arial"/>
          <w:sz w:val="25"/>
          <w:szCs w:val="25"/>
          <w:color w:val="auto"/>
          <w:vertAlign w:val="superscript"/>
        </w:rPr>
      </w:pPr>
    </w:p>
    <w:p>
      <w:pPr>
        <w:ind w:left="340" w:right="180" w:hanging="332"/>
        <w:spacing w:after="0" w:line="208"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69 million, 64 million, 67 million and 58 million, respectively.</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Per Common Unit to Adjusted Net Income Per Common Unit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29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84"/>
        </w:trPr>
        <w:tc>
          <w:tcPr>
            <w:tcW w:w="65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54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30"/>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3"/>
                <w:szCs w:val="23"/>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1" w:lineRule="exact"/>
        <w:rPr>
          <w:sz w:val="20"/>
          <w:szCs w:val="20"/>
          <w:color w:val="auto"/>
        </w:rPr>
      </w:pPr>
    </w:p>
    <w:p>
      <w:pPr>
        <w:ind w:left="340" w:right="180" w:hanging="332"/>
        <w:spacing w:after="0"/>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2" w:lineRule="exact"/>
        <w:rPr>
          <w:rFonts w:ascii="Arial" w:cs="Arial" w:eastAsia="Arial" w:hAnsi="Arial"/>
          <w:sz w:val="23"/>
          <w:szCs w:val="23"/>
          <w:color w:val="auto"/>
          <w:vertAlign w:val="superscript"/>
        </w:rPr>
      </w:pPr>
    </w:p>
    <w:p>
      <w:pPr>
        <w:ind w:left="340" w:hanging="332"/>
        <w:spacing w:after="0" w:line="191"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48" w:lineRule="exact"/>
        <w:rPr>
          <w:rFonts w:ascii="Arial" w:cs="Arial" w:eastAsia="Arial" w:hAnsi="Arial"/>
          <w:sz w:val="25"/>
          <w:szCs w:val="25"/>
          <w:color w:val="auto"/>
          <w:vertAlign w:val="superscript"/>
        </w:rPr>
      </w:pPr>
    </w:p>
    <w:p>
      <w:pPr>
        <w:ind w:left="340" w:right="100" w:hanging="332"/>
        <w:spacing w:after="0" w:line="202"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36" w:lineRule="exact"/>
        <w:rPr>
          <w:rFonts w:ascii="Arial" w:cs="Arial" w:eastAsia="Arial" w:hAnsi="Arial"/>
          <w:sz w:val="25"/>
          <w:szCs w:val="25"/>
          <w:color w:val="auto"/>
          <w:vertAlign w:val="superscript"/>
        </w:rPr>
      </w:pPr>
    </w:p>
    <w:p>
      <w:pPr>
        <w:ind w:left="340" w:right="200" w:hanging="332"/>
        <w:spacing w:after="0" w:line="193"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The possible conversion of our Series A preferred units was excluded from the calculation of diluted adjusted net income per common unit for the three and twelve months ended December 31, 2017 and 2016 as the effect was antidilutive.</w:t>
      </w:r>
    </w:p>
    <w:p>
      <w:pPr>
        <w:spacing w:after="0" w:line="223"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6,746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INCOME/(LOSS)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00" w:type="dxa"/>
            <w:vAlign w:val="bottom"/>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Twelve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Twelve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20,182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2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44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26,753</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70"/>
        </w:trPr>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10,663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26,753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right="414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income/(loss) attributable to PAGP</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Basic and diluted net income/(loss) per Class A share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8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For the three and twelve months ended December 31, 2017 and 2016, the possible exchange of any AAP units and certain AAP Management Units would not have had a dilutive effect on basic net income/(loss)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00"/>
              <w:spacing w:after="0"/>
              <w:rPr>
                <w:sz w:val="20"/>
                <w:szCs w:val="20"/>
                <w:color w:val="auto"/>
              </w:rPr>
            </w:pPr>
            <w:r>
              <w:rPr>
                <w:rFonts w:ascii="Arial" w:cs="Arial" w:eastAsia="Arial" w:hAnsi="Arial"/>
                <w:sz w:val="18"/>
                <w:szCs w:val="18"/>
                <w:color w:val="auto"/>
              </w:rPr>
              <w:t>Brett Magill</w:t>
            </w:r>
          </w:p>
        </w:tc>
        <w:tc>
          <w:tcPr>
            <w:tcW w:w="4140" w:type="dxa"/>
            <w:vAlign w:val="bottom"/>
          </w:tcPr>
          <w:p>
            <w:pPr>
              <w:spacing w:after="0"/>
              <w:rPr>
                <w:sz w:val="24"/>
                <w:szCs w:val="24"/>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6980" w:type="dxa"/>
            <w:vAlign w:val="bottom"/>
            <w:gridSpan w:val="2"/>
          </w:tcPr>
          <w:p>
            <w:pPr>
              <w:ind w:left="130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00"/>
              <w:spacing w:after="0"/>
              <w:rPr>
                <w:sz w:val="20"/>
                <w:szCs w:val="20"/>
                <w:color w:val="auto"/>
              </w:rPr>
            </w:pPr>
            <w:r>
              <w:rPr>
                <w:rFonts w:ascii="Arial" w:cs="Arial" w:eastAsia="Arial" w:hAnsi="Arial"/>
                <w:sz w:val="18"/>
                <w:szCs w:val="18"/>
                <w:color w:val="auto"/>
              </w:rPr>
              <w:t>(866) 809-1291</w:t>
            </w:r>
          </w:p>
        </w:tc>
        <w:tc>
          <w:tcPr>
            <w:tcW w:w="4140" w:type="dxa"/>
            <w:vAlign w:val="bottom"/>
          </w:tcPr>
          <w:p>
            <w:pPr>
              <w:spacing w:after="0"/>
              <w:rPr>
                <w:sz w:val="23"/>
                <w:szCs w:val="23"/>
                <w:color w:val="auto"/>
              </w:rPr>
            </w:pPr>
          </w:p>
        </w:tc>
      </w:tr>
      <w:tr>
        <w:trPr>
          <w:trHeight w:val="70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r>
        <w:trPr>
          <w:trHeight w:val="243"/>
        </w:trPr>
        <w:tc>
          <w:tcPr>
            <w:tcW w:w="6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r>
      <w:tr>
        <w:trPr>
          <w:trHeight w:val="345"/>
        </w:trPr>
        <w:tc>
          <w:tcPr>
            <w:tcW w:w="6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Houston, Texas 77002</w:t>
            </w:r>
          </w:p>
        </w:tc>
        <w:tc>
          <w:tcPr>
            <w:tcW w:w="4140" w:type="dxa"/>
            <w:vAlign w:val="bottom"/>
          </w:tcPr>
          <w:p>
            <w:pPr>
              <w:jc w:val="right"/>
              <w:ind w:right="14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lvl w:ilvl="1">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lvl w:ilvl="1">
      <w:lvlJc w:val="left"/>
      <w:lvlText w:val="-"/>
      <w:numFmt w:val="bullet"/>
      <w:start w:val="1"/>
    </w:lvl>
  </w:abstractNum>
  <w:abstractNum w:abstractNumId="9">
    <w:nsid w:val="DED7263"/>
    <w:multiLevelType w:val="hybridMultilevel"/>
    <w:lvl w:ilvl="0">
      <w:lvlJc w:val="left"/>
      <w:lvlText w:val="(%1)"/>
      <w:numFmt w:val="decimal"/>
      <w:start w:val="1"/>
    </w:lvl>
    <w:lvl w:ilvl="1">
      <w:lvlJc w:val="left"/>
      <w:lvlText w:val="-"/>
      <w:numFmt w:val="bullet"/>
      <w:start w:val="1"/>
    </w:lvl>
  </w:abstractNum>
  <w:abstractNum w:abstractNumId="10">
    <w:nsid w:val="7FDCC233"/>
    <w:multiLevelType w:val="hybridMultilevel"/>
    <w:lvl w:ilvl="0">
      <w:lvlJc w:val="left"/>
      <w:lvlText w:val="(%1)"/>
      <w:numFmt w:val="decimal"/>
      <w:start w:val="1"/>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2020-01-14T06:32:29Z</dcterms:created>
  <dcterms:modified xsi:type="dcterms:W3CDTF">2020-01-14T06:32:29Z</dcterms:modified>
</cp:coreProperties>
</file>