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1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1"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79"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-604520</wp:posOffset>
            </wp:positionV>
            <wp:extent cx="57150" cy="617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641985</wp:posOffset>
            </wp:positionV>
            <wp:extent cx="6998335" cy="4779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4779010"/>
                    </a:xfrm>
                    <a:prstGeom prst="rect">
                      <a:avLst/>
                    </a:prstGeom>
                    <a:noFill/>
                  </pic:spPr>
                </pic:pic>
              </a:graphicData>
            </a:graphic>
          </wp:anchor>
        </w:drawing>
      </w:r>
    </w:p>
    <w:p>
      <w:pPr>
        <w:spacing w:after="0" w:line="1079" w:lineRule="exact"/>
        <w:rPr>
          <w:sz w:val="24"/>
          <w:szCs w:val="24"/>
          <w:color w:val="auto"/>
        </w:rPr>
      </w:pPr>
    </w:p>
    <w:p>
      <w:pPr>
        <w:sectPr>
          <w:pgSz w:w="11900" w:h="16838" w:orient="portrait"/>
          <w:cols w:equalWidth="0" w:num="2">
            <w:col w:w="2300" w:space="380"/>
            <w:col w:w="8400"/>
          </w:cols>
          <w:pgMar w:left="460" w:top="214"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Swanson Al</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60" w:type="dxa"/>
            <w:vAlign w:val="bottom"/>
          </w:tcPr>
          <w:p>
            <w:pPr>
              <w:ind w:left="40"/>
              <w:spacing w:after="0"/>
              <w:rPr>
                <w:sz w:val="20"/>
                <w:szCs w:val="20"/>
                <w:color w:val="auto"/>
              </w:rPr>
            </w:pPr>
            <w:r>
              <w:rPr>
                <w:rFonts w:ascii="Arial" w:cs="Arial" w:eastAsia="Arial" w:hAnsi="Arial"/>
                <w:sz w:val="12"/>
                <w:szCs w:val="12"/>
                <w:color w:val="auto"/>
              </w:rPr>
              <w:t>(Last)</w:t>
            </w:r>
          </w:p>
        </w:tc>
        <w:tc>
          <w:tcPr>
            <w:tcW w:w="1000" w:type="dxa"/>
            <w:vAlign w:val="bottom"/>
          </w:tcPr>
          <w:p>
            <w:pPr>
              <w:ind w:left="200"/>
              <w:spacing w:after="0"/>
              <w:rPr>
                <w:sz w:val="20"/>
                <w:szCs w:val="20"/>
                <w:color w:val="auto"/>
              </w:rPr>
            </w:pPr>
            <w:r>
              <w:rPr>
                <w:rFonts w:ascii="Arial" w:cs="Arial" w:eastAsia="Arial" w:hAnsi="Arial"/>
                <w:sz w:val="12"/>
                <w:szCs w:val="12"/>
                <w:color w:val="auto"/>
              </w:rPr>
              <w:t>(First)</w:t>
            </w:r>
          </w:p>
        </w:tc>
        <w:tc>
          <w:tcPr>
            <w:tcW w:w="88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333 CLAY STREET</w:t>
            </w:r>
          </w:p>
        </w:tc>
        <w:tc>
          <w:tcPr>
            <w:tcW w:w="880" w:type="dxa"/>
            <w:vAlign w:val="bottom"/>
          </w:tcPr>
          <w:p>
            <w:pPr>
              <w:spacing w:after="0"/>
              <w:rPr>
                <w:sz w:val="22"/>
                <w:szCs w:val="22"/>
                <w:color w:val="auto"/>
              </w:rPr>
            </w:pPr>
          </w:p>
        </w:tc>
      </w:tr>
      <w:tr>
        <w:trPr>
          <w:trHeight w:val="249"/>
        </w:trPr>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SUITE 1600</w:t>
            </w: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15"/>
        </w:trPr>
        <w:tc>
          <w:tcPr>
            <w:tcW w:w="1060" w:type="dxa"/>
            <w:vAlign w:val="bottom"/>
          </w:tcPr>
          <w:p>
            <w:pPr>
              <w:spacing w:after="0"/>
              <w:rPr>
                <w:sz w:val="20"/>
                <w:szCs w:val="20"/>
                <w:color w:val="auto"/>
              </w:rPr>
            </w:pPr>
            <w:r>
              <w:rPr>
                <w:rFonts w:ascii="Arial" w:cs="Arial" w:eastAsia="Arial" w:hAnsi="Arial"/>
                <w:sz w:val="12"/>
                <w:szCs w:val="12"/>
                <w:color w:val="auto"/>
              </w:rPr>
              <w:t>(Street)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9"/>
        </w:trPr>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TX</w:t>
            </w:r>
          </w:p>
        </w:tc>
        <w:tc>
          <w:tcPr>
            <w:tcW w:w="88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77002</w:t>
            </w:r>
          </w:p>
        </w:tc>
      </w:tr>
      <w:tr>
        <w:trPr>
          <w:trHeight w:val="452"/>
        </w:trPr>
        <w:tc>
          <w:tcPr>
            <w:tcW w:w="1060" w:type="dxa"/>
            <w:vAlign w:val="bottom"/>
          </w:tcPr>
          <w:p>
            <w:pPr>
              <w:ind w:left="40"/>
              <w:spacing w:after="0"/>
              <w:rPr>
                <w:sz w:val="20"/>
                <w:szCs w:val="20"/>
                <w:color w:val="auto"/>
              </w:rPr>
            </w:pPr>
            <w:r>
              <w:rPr>
                <w:rFonts w:ascii="Arial" w:cs="Arial" w:eastAsia="Arial" w:hAnsi="Arial"/>
                <w:sz w:val="12"/>
                <w:szCs w:val="12"/>
                <w:color w:val="auto"/>
              </w:rPr>
              <w:t>(City)</w:t>
            </w:r>
          </w:p>
        </w:tc>
        <w:tc>
          <w:tcPr>
            <w:tcW w:w="1000" w:type="dxa"/>
            <w:vAlign w:val="bottom"/>
          </w:tcPr>
          <w:p>
            <w:pPr>
              <w:ind w:left="200"/>
              <w:spacing w:after="0"/>
              <w:rPr>
                <w:sz w:val="20"/>
                <w:szCs w:val="20"/>
                <w:color w:val="auto"/>
              </w:rPr>
            </w:pPr>
            <w:r>
              <w:rPr>
                <w:rFonts w:ascii="Arial" w:cs="Arial" w:eastAsia="Arial" w:hAnsi="Arial"/>
                <w:sz w:val="12"/>
                <w:szCs w:val="12"/>
                <w:color w:val="auto"/>
              </w:rPr>
              <w:t>(State)</w:t>
            </w:r>
          </w:p>
        </w:tc>
        <w:tc>
          <w:tcPr>
            <w:tcW w:w="88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3780" w:type="dxa"/>
            <w:vAlign w:val="bottom"/>
            <w:gridSpan w:val="2"/>
          </w:tcPr>
          <w:p>
            <w:pPr>
              <w:spacing w:after="0" w:line="19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PLAINS ALL AMERICAN PIPELINE LP </w:t>
              </w:r>
            </w:hyperlink>
            <w:r>
              <w:rPr>
                <w:rFonts w:ascii="Times New Roman" w:cs="Times New Roman" w:eastAsia="Times New Roman" w:hAnsi="Times New Roman"/>
                <w:sz w:val="20"/>
                <w:szCs w:val="20"/>
                <w:color w:val="000000"/>
              </w:rPr>
              <w:t>[</w:t>
            </w:r>
          </w:p>
        </w:tc>
        <w:tc>
          <w:tcPr>
            <w:tcW w:w="210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60" w:type="dxa"/>
            <w:vAlign w:val="bottom"/>
            <w:vMerge w:val="restart"/>
          </w:tcPr>
          <w:p>
            <w:pPr>
              <w:spacing w:after="0"/>
              <w:rPr>
                <w:sz w:val="12"/>
                <w:szCs w:val="12"/>
                <w:color w:val="auto"/>
              </w:rPr>
            </w:pPr>
          </w:p>
        </w:tc>
        <w:tc>
          <w:tcPr>
            <w:tcW w:w="34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6"/>
                <w:szCs w:val="16"/>
                <w:color w:val="0000FF"/>
              </w:rPr>
              <w:t xml:space="preserve">PAA </w:t>
            </w:r>
            <w:r>
              <w:rPr>
                <w:rFonts w:ascii="Times New Roman" w:cs="Times New Roman" w:eastAsia="Times New Roman" w:hAnsi="Times New Roman"/>
                <w:sz w:val="19"/>
                <w:szCs w:val="19"/>
                <w:color w:val="000000"/>
              </w:rPr>
              <w:t>]</w:t>
            </w:r>
          </w:p>
        </w:tc>
        <w:tc>
          <w:tcPr>
            <w:tcW w:w="340" w:type="dxa"/>
            <w:vAlign w:val="bottom"/>
            <w:vMerge w:val="restart"/>
          </w:tcPr>
          <w:p>
            <w:pPr>
              <w:spacing w:after="0"/>
              <w:rPr>
                <w:sz w:val="12"/>
                <w:szCs w:val="12"/>
                <w:color w:val="auto"/>
              </w:rPr>
            </w:pPr>
          </w:p>
        </w:tc>
        <w:tc>
          <w:tcPr>
            <w:tcW w:w="2100" w:type="dxa"/>
            <w:vAlign w:val="bottom"/>
          </w:tcPr>
          <w:p>
            <w:pPr>
              <w:ind w:left="580"/>
              <w:spacing w:after="0"/>
              <w:rPr>
                <w:sz w:val="20"/>
                <w:szCs w:val="20"/>
                <w:color w:val="auto"/>
              </w:rPr>
            </w:pPr>
            <w:r>
              <w:rPr>
                <w:rFonts w:ascii="Arial" w:cs="Arial" w:eastAsia="Arial" w:hAnsi="Arial"/>
                <w:sz w:val="12"/>
                <w:szCs w:val="12"/>
                <w:color w:val="auto"/>
              </w:rPr>
              <w:t>Director</w:t>
            </w:r>
          </w:p>
        </w:tc>
        <w:tc>
          <w:tcPr>
            <w:tcW w:w="1180" w:type="dxa"/>
            <w:vAlign w:val="bottom"/>
          </w:tcPr>
          <w:p>
            <w:pPr>
              <w:ind w:left="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20"/>
        </w:trPr>
        <w:tc>
          <w:tcPr>
            <w:tcW w:w="6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210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180" w:type="dxa"/>
            <w:vAlign w:val="bottom"/>
            <w:vMerge w:val="restart"/>
          </w:tcPr>
          <w:p>
            <w:pPr>
              <w:ind w:left="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00" w:type="dxa"/>
            <w:vAlign w:val="bottom"/>
            <w:vMerge w:val="continue"/>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tcPr>
          <w:p>
            <w:pPr>
              <w:ind w:left="580"/>
              <w:spacing w:after="0"/>
              <w:rPr>
                <w:sz w:val="20"/>
                <w:szCs w:val="20"/>
                <w:color w:val="auto"/>
              </w:rPr>
            </w:pPr>
            <w:r>
              <w:rPr>
                <w:rFonts w:ascii="Arial" w:cs="Arial" w:eastAsia="Arial" w:hAnsi="Arial"/>
                <w:sz w:val="12"/>
                <w:szCs w:val="12"/>
                <w:color w:val="auto"/>
              </w:rPr>
              <w:t>below)</w:t>
            </w:r>
          </w:p>
        </w:tc>
        <w:tc>
          <w:tcPr>
            <w:tcW w:w="1180" w:type="dxa"/>
            <w:vAlign w:val="bottom"/>
          </w:tcPr>
          <w:p>
            <w:pPr>
              <w:ind w:left="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27"/>
        </w:trPr>
        <w:tc>
          <w:tcPr>
            <w:tcW w:w="60" w:type="dxa"/>
            <w:vAlign w:val="bottom"/>
            <w:tcBorders>
              <w:bottom w:val="single" w:sz="8" w:color="2C2C2C"/>
            </w:tcBorders>
          </w:tcPr>
          <w:p>
            <w:pPr>
              <w:spacing w:after="0"/>
              <w:rPr>
                <w:sz w:val="11"/>
                <w:szCs w:val="11"/>
                <w:color w:val="auto"/>
              </w:rPr>
            </w:pPr>
          </w:p>
        </w:tc>
        <w:tc>
          <w:tcPr>
            <w:tcW w:w="34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100" w:type="dxa"/>
            <w:vAlign w:val="bottom"/>
            <w:vMerge w:val="restart"/>
          </w:tcPr>
          <w:p>
            <w:pPr>
              <w:ind w:left="1220"/>
              <w:spacing w:after="0"/>
              <w:rPr>
                <w:sz w:val="20"/>
                <w:szCs w:val="20"/>
                <w:color w:val="auto"/>
              </w:rPr>
            </w:pPr>
            <w:r>
              <w:rPr>
                <w:rFonts w:ascii="Times New Roman" w:cs="Times New Roman" w:eastAsia="Times New Roman" w:hAnsi="Times New Roman"/>
                <w:sz w:val="16"/>
                <w:szCs w:val="16"/>
                <w:color w:val="0000FF"/>
              </w:rPr>
              <w:t>EVP &amp; CFO</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3840" w:type="dxa"/>
            <w:vAlign w:val="bottom"/>
            <w:gridSpan w:val="3"/>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21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840" w:type="dxa"/>
            <w:vAlign w:val="bottom"/>
            <w:gridSpan w:val="3"/>
            <w:vMerge w:val="continue"/>
          </w:tcPr>
          <w:p>
            <w:pPr>
              <w:spacing w:after="0"/>
              <w:rPr>
                <w:sz w:val="7"/>
                <w:szCs w:val="7"/>
                <w:color w:val="auto"/>
              </w:rPr>
            </w:pPr>
          </w:p>
        </w:tc>
        <w:tc>
          <w:tcPr>
            <w:tcW w:w="2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08/14/2025</w:t>
            </w:r>
          </w:p>
        </w:tc>
        <w:tc>
          <w:tcPr>
            <w:tcW w:w="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 w:type="dxa"/>
            <w:vAlign w:val="bottom"/>
            <w:tcBorders>
              <w:bottom w:val="single" w:sz="8" w:color="2C2C2C"/>
            </w:tcBorders>
          </w:tcPr>
          <w:p>
            <w:pPr>
              <w:spacing w:after="0"/>
              <w:rPr>
                <w:sz w:val="21"/>
                <w:szCs w:val="21"/>
                <w:color w:val="auto"/>
              </w:rPr>
            </w:pPr>
          </w:p>
        </w:tc>
        <w:tc>
          <w:tcPr>
            <w:tcW w:w="34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3280" w:type="dxa"/>
            <w:vAlign w:val="bottom"/>
            <w:tcBorders>
              <w:bottom w:val="single" w:sz="8" w:color="2C2C2C"/>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444" w:lineRule="exact"/>
        <w:rPr>
          <w:sz w:val="24"/>
          <w:szCs w:val="24"/>
          <w:color w:val="auto"/>
        </w:rPr>
      </w:pPr>
    </w:p>
    <w:p>
      <w:pPr>
        <w:sectPr>
          <w:pgSz w:w="11900" w:h="16838" w:orient="portrait"/>
          <w:cols w:equalWidth="0" w:num="2">
            <w:col w:w="3120" w:space="72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8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80"/>
              <w:spacing w:after="0" w:line="124"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0000FF"/>
                <w:w w:val="98"/>
              </w:rPr>
              <w:t>08/14/2025</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176,731</w:t>
            </w: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center"/>
              <w:ind w:right="113"/>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671,445</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0000FF"/>
                <w:w w:val="98"/>
              </w:rPr>
              <w:t>08/14/2025</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69,544</w:t>
            </w: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17.78</w:t>
            </w:r>
          </w:p>
        </w:tc>
        <w:tc>
          <w:tcPr>
            <w:tcW w:w="4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601,901</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456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40" w:type="dxa"/>
            <w:vAlign w:val="bottom"/>
            <w:tcBorders>
              <w:top w:val="single" w:sz="8" w:color="2C2C2C"/>
            </w:tcBorders>
            <w:gridSpan w:val="11"/>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40" w:type="dxa"/>
            <w:vAlign w:val="bottom"/>
            <w:gridSpan w:val="10"/>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9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7"/>
              </w:rPr>
              <w:t>(Month/Day/Year)</w:t>
            </w:r>
          </w:p>
        </w:tc>
        <w:tc>
          <w:tcPr>
            <w:tcW w:w="88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08/14/2025</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580" w:type="dxa"/>
            <w:vAlign w:val="bottom"/>
          </w:tcPr>
          <w:p>
            <w:pPr>
              <w:spacing w:after="0"/>
              <w:rPr>
                <w:sz w:val="15"/>
                <w:szCs w:val="15"/>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176,731</w:t>
            </w:r>
          </w:p>
        </w:tc>
        <w:tc>
          <w:tcPr>
            <w:tcW w:w="760" w:type="dxa"/>
            <w:vAlign w:val="bottom"/>
            <w:vMerge w:val="restart"/>
          </w:tcPr>
          <w:p>
            <w:pPr>
              <w:jc w:val="right"/>
              <w:ind w:right="43"/>
              <w:spacing w:after="0"/>
              <w:rPr>
                <w:sz w:val="20"/>
                <w:szCs w:val="20"/>
                <w:color w:val="auto"/>
              </w:rPr>
            </w:pPr>
            <w:r>
              <w:rPr>
                <w:rFonts w:ascii="Times New Roman" w:cs="Times New Roman" w:eastAsia="Times New Roman" w:hAnsi="Times New Roman"/>
                <w:sz w:val="12"/>
                <w:szCs w:val="12"/>
                <w:color w:val="0000FF"/>
              </w:rPr>
              <w:t>08/14/2025</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08/14/2025</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176,731</w:t>
            </w:r>
          </w:p>
        </w:tc>
        <w:tc>
          <w:tcPr>
            <w:tcW w:w="40" w:type="dxa"/>
            <w:vAlign w:val="bottom"/>
          </w:tcPr>
          <w:p>
            <w:pPr>
              <w:spacing w:after="0"/>
              <w:rPr>
                <w:sz w:val="15"/>
                <w:szCs w:val="15"/>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00" w:type="dxa"/>
            <w:vAlign w:val="bottom"/>
            <w:vMerge w:val="restart"/>
          </w:tcPr>
          <w:p>
            <w:pPr>
              <w:jc w:val="right"/>
              <w:ind w:right="23"/>
              <w:spacing w:after="0"/>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15"/>
                <w:szCs w:val="15"/>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tcPr>
          <w:p>
            <w:pPr>
              <w:ind w:left="140"/>
              <w:spacing w:after="0" w:line="63" w:lineRule="exact"/>
              <w:rPr>
                <w:sz w:val="20"/>
                <w:szCs w:val="20"/>
                <w:color w:val="auto"/>
              </w:rPr>
            </w:pPr>
            <w:r>
              <w:rPr>
                <w:rFonts w:ascii="Times New Roman" w:cs="Times New Roman" w:eastAsia="Times New Roman" w:hAnsi="Times New Roman"/>
                <w:sz w:val="7"/>
                <w:szCs w:val="7"/>
                <w:color w:val="0000FF"/>
              </w:rPr>
              <w:t>Units</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08/14/2025</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108,850</w:t>
            </w:r>
          </w:p>
        </w:tc>
        <w:tc>
          <w:tcPr>
            <w:tcW w:w="480" w:type="dxa"/>
            <w:vAlign w:val="bottom"/>
          </w:tcPr>
          <w:p>
            <w:pPr>
              <w:spacing w:after="0"/>
              <w:rPr>
                <w:sz w:val="15"/>
                <w:szCs w:val="15"/>
                <w:color w:val="auto"/>
              </w:rPr>
            </w:pPr>
          </w:p>
        </w:tc>
        <w:tc>
          <w:tcPr>
            <w:tcW w:w="760" w:type="dxa"/>
            <w:vAlign w:val="bottom"/>
            <w:vMerge w:val="restart"/>
          </w:tcPr>
          <w:p>
            <w:pPr>
              <w:jc w:val="right"/>
              <w:ind w:right="143"/>
              <w:spacing w:after="0"/>
              <w:rPr>
                <w:sz w:val="20"/>
                <w:szCs w:val="20"/>
                <w:color w:val="auto"/>
              </w:rPr>
            </w:pPr>
            <w:r>
              <w:rPr>
                <w:rFonts w:ascii="Times New Roman" w:cs="Times New Roman" w:eastAsia="Times New Roman" w:hAnsi="Times New Roman"/>
                <w:sz w:val="10"/>
                <w:szCs w:val="10"/>
                <w:color w:val="008000"/>
              </w:rPr>
              <w:t>(3)(4)(5)</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0"/>
                <w:szCs w:val="10"/>
                <w:color w:val="008000"/>
              </w:rPr>
              <w:t>(3)(4)(5)</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108,850</w:t>
            </w:r>
          </w:p>
        </w:tc>
        <w:tc>
          <w:tcPr>
            <w:tcW w:w="40" w:type="dxa"/>
            <w:vAlign w:val="bottom"/>
          </w:tcPr>
          <w:p>
            <w:pPr>
              <w:spacing w:after="0"/>
              <w:rPr>
                <w:sz w:val="15"/>
                <w:szCs w:val="15"/>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gridSpan w:val="2"/>
            <w:vMerge w:val="restart"/>
          </w:tcPr>
          <w:p>
            <w:pPr>
              <w:jc w:val="right"/>
              <w:ind w:right="164"/>
              <w:spacing w:after="0"/>
              <w:rPr>
                <w:sz w:val="20"/>
                <w:szCs w:val="20"/>
                <w:color w:val="auto"/>
              </w:rPr>
            </w:pPr>
            <w:r>
              <w:rPr>
                <w:rFonts w:ascii="Times New Roman" w:cs="Times New Roman" w:eastAsia="Times New Roman" w:hAnsi="Times New Roman"/>
                <w:sz w:val="12"/>
                <w:szCs w:val="12"/>
                <w:color w:val="0000FF"/>
              </w:rPr>
              <w:t>108,850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tcPr>
          <w:p>
            <w:pPr>
              <w:ind w:left="140"/>
              <w:spacing w:after="0" w:line="63" w:lineRule="exact"/>
              <w:rPr>
                <w:sz w:val="20"/>
                <w:szCs w:val="20"/>
                <w:color w:val="auto"/>
              </w:rPr>
            </w:pPr>
            <w:r>
              <w:rPr>
                <w:rFonts w:ascii="Times New Roman" w:cs="Times New Roman" w:eastAsia="Times New Roman" w:hAnsi="Times New Roman"/>
                <w:sz w:val="7"/>
                <w:szCs w:val="7"/>
                <w:color w:val="0000FF"/>
              </w:rPr>
              <w:t>Units</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-1820545</wp:posOffset>
            </wp:positionV>
            <wp:extent cx="28575" cy="1825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2562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Phantom Units granted under Long-Term Incentive Plan (includes distribution equivalent rights payable in cash).</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 common unit is deliverable, upon vesting, for each Phantom Unit that vests.</w:t>
      </w:r>
    </w:p>
    <w:p>
      <w:pPr>
        <w:spacing w:after="0" w:line="48" w:lineRule="exact"/>
        <w:rPr>
          <w:rFonts w:ascii="Times New Roman" w:cs="Times New Roman" w:eastAsia="Times New Roman" w:hAnsi="Times New Roman"/>
          <w:sz w:val="12"/>
          <w:szCs w:val="12"/>
          <w:color w:val="008000"/>
        </w:rPr>
      </w:pPr>
    </w:p>
    <w:p>
      <w:pPr>
        <w:ind w:left="40" w:right="240" w:hanging="3"/>
        <w:spacing w:after="0" w:line="252"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phantom units will vest as follows: (a) Tranche 1, consisting of 54,425 phantom units, will vest on the August 2028 distribution date assuming continued service through such date; (b) Tranche 2, consisting of 27,212 phantom units (assuming 100% payout at target), will potentially vest on the August 2028 distribution date at a scaled payout range of between 0% to 200% based on PAA's total shareholder return (TSR) over the three-year period ending June 30, 2028 compared to the TSR of a selected peer group (payout based on numeric rank with 100% earned at median and interpolation between ranks, and with payout being subject to reduction by up to 25 basis points, but not below 100%, if actual TSR is negative); and</w:t>
      </w:r>
    </w:p>
    <w:p>
      <w:pPr>
        <w:spacing w:after="0" w:line="17" w:lineRule="exact"/>
        <w:rPr>
          <w:rFonts w:ascii="Times New Roman" w:cs="Times New Roman" w:eastAsia="Times New Roman" w:hAnsi="Times New Roman"/>
          <w:sz w:val="12"/>
          <w:szCs w:val="12"/>
          <w:color w:val="008000"/>
        </w:rPr>
      </w:pPr>
    </w:p>
    <w:p>
      <w:pPr>
        <w:ind w:left="40" w:right="160" w:hanging="3"/>
        <w:spacing w:after="0" w:line="248"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 Tranche 3, consisting of 27,213 phantom units (assuming 100% payout at target), will potentially vest on the Aug. 2028 distribution date at a scaled payout range of between 0% and 200% based on PAA achieving cumul. distributable cash flow (DCF) per common unit equivalent (CUE) of $8.40 over the 3-year period ending 6/30/28 (with payout equaling 100% at cumul. DCF/CUE over such period of $8.40 and being equal to 0% for cumul. DCF/CUE over such period of $7.56 or lower and 200% for cumul. DCF/CUE over such period of $9.24 or higher, with interpolation btw. such points, and with payout being subject to reduction by 25 basis pts. if PAA's leverage ratio (long term debt to adj. EBITDA as calculated pursuant to PAA's sr. unsecured revolving credit facility) as of 6/30/28 is greater than the leverage ratio that equals the upper end of our then applicable non-rating agency target leverage ratio range.</w:t>
      </w:r>
    </w:p>
    <w:p>
      <w:pPr>
        <w:spacing w:after="0" w:line="20" w:lineRule="exact"/>
        <w:rPr>
          <w:rFonts w:ascii="Times New Roman" w:cs="Times New Roman" w:eastAsia="Times New Roman" w:hAnsi="Times New Roman"/>
          <w:sz w:val="12"/>
          <w:szCs w:val="12"/>
          <w:color w:val="008000"/>
        </w:rPr>
      </w:pPr>
    </w:p>
    <w:p>
      <w:pPr>
        <w:ind w:left="40" w:right="30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DERs associated with Tranche 1 will accrue for the first year and be paid in cash in a lump sum on the August 2026 distribution date; beginning in November 2026, DERs associated with Tranche 1 will be paid quarterly until the phantom units vest or terminate. DERs associated with Tranches 2 and 3 will accrue during the three-year vesting period and be paid in cash in a lump sum on the August 2028 distribution date with respect to each phantom unit that vests, if any, on such date. Any Tranche 2 or Tranche 3 phantom units that are determined to not have vested as of the August 2028 distribution date shall expire as of such date.</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Al Swanson</w:t>
            </w:r>
          </w:p>
        </w:tc>
        <w:tc>
          <w:tcPr>
            <w:tcW w:w="720" w:type="dxa"/>
            <w:vAlign w:val="bottom"/>
          </w:tcPr>
          <w:p>
            <w:pPr>
              <w:spacing w:after="0"/>
              <w:rPr>
                <w:sz w:val="20"/>
                <w:szCs w:val="20"/>
                <w:color w:val="auto"/>
              </w:rPr>
            </w:pPr>
            <w:r>
              <w:rPr>
                <w:rFonts w:ascii="Times New Roman" w:cs="Times New Roman" w:eastAsia="Times New Roman" w:hAnsi="Times New Roman"/>
                <w:sz w:val="16"/>
                <w:szCs w:val="16"/>
                <w:color w:val="0000FF"/>
                <w:w w:val="95"/>
              </w:rPr>
              <w:t>08/18/2025</w:t>
            </w:r>
          </w:p>
        </w:tc>
      </w:tr>
      <w:tr>
        <w:trPr>
          <w:trHeight w:val="20"/>
        </w:trPr>
        <w:tc>
          <w:tcPr>
            <w:tcW w:w="9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92270" TargetMode="External"/><Relationship Id="rId14"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2025-08-18T16:54:11Z</dcterms:created>
  <dcterms:modified xsi:type="dcterms:W3CDTF">2025-08-18T16:54:11Z</dcterms:modified>
</cp:coreProperties>
</file>