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OMB APPROVAL</w:t>
      </w:r>
    </w:p>
    <w:p>
      <w:pPr>
        <w:spacing w:after="0" w:line="27" w:lineRule="exact"/>
        <w:rPr>
          <w:sz w:val="24"/>
          <w:szCs w:val="24"/>
          <w:color w:val="auto"/>
        </w:rPr>
      </w:pPr>
    </w:p>
    <w:p>
      <w:pPr>
        <w:ind w:left="8920"/>
        <w:spacing w:after="0"/>
        <w:tabs>
          <w:tab w:leader="none" w:pos="10220" w:val="left"/>
        </w:tabs>
        <w:rPr>
          <w:sz w:val="20"/>
          <w:szCs w:val="20"/>
          <w:color w:val="auto"/>
        </w:rPr>
      </w:pPr>
      <w:r>
        <w:rPr>
          <w:rFonts w:ascii="Times New Roman" w:cs="Times New Roman" w:eastAsia="Times New Roman" w:hAnsi="Times New Roman"/>
          <w:sz w:val="18"/>
          <w:szCs w:val="18"/>
          <w:color w:val="auto"/>
        </w:rPr>
        <w:t>OMB Number:</w:t>
      </w:r>
      <w:r>
        <w:rPr>
          <w:sz w:val="20"/>
          <w:szCs w:val="20"/>
          <w:color w:val="auto"/>
        </w:rPr>
        <w:tab/>
      </w:r>
      <w:r>
        <w:rPr>
          <w:rFonts w:ascii="Times New Roman" w:cs="Times New Roman" w:eastAsia="Times New Roman" w:hAnsi="Times New Roman"/>
          <w:sz w:val="17"/>
          <w:szCs w:val="17"/>
          <w:color w:val="auto"/>
        </w:rPr>
        <w:t>3235-0145</w:t>
      </w:r>
    </w:p>
    <w:p>
      <w:pPr>
        <w:spacing w:after="0" w:line="9" w:lineRule="exact"/>
        <w:rPr>
          <w:sz w:val="24"/>
          <w:szCs w:val="24"/>
          <w:color w:val="auto"/>
        </w:rPr>
      </w:pPr>
    </w:p>
    <w:p>
      <w:pPr>
        <w:ind w:left="8920"/>
        <w:spacing w:after="0"/>
        <w:tabs>
          <w:tab w:leader="none" w:pos="9720" w:val="left"/>
        </w:tabs>
        <w:rPr>
          <w:sz w:val="20"/>
          <w:szCs w:val="20"/>
          <w:color w:val="auto"/>
        </w:rPr>
      </w:pPr>
      <w:r>
        <w:rPr>
          <w:rFonts w:ascii="Times New Roman" w:cs="Times New Roman" w:eastAsia="Times New Roman" w:hAnsi="Times New Roman"/>
          <w:sz w:val="18"/>
          <w:szCs w:val="18"/>
          <w:color w:val="auto"/>
        </w:rPr>
        <w:t>Expires:</w:t>
        <w:tab/>
        <w:t>October 31, 2002</w:t>
      </w:r>
    </w:p>
    <w:p>
      <w:pPr>
        <w:spacing w:after="0" w:line="9" w:lineRule="exact"/>
        <w:rPr>
          <w:sz w:val="24"/>
          <w:szCs w:val="24"/>
          <w:color w:val="auto"/>
        </w:rPr>
      </w:pPr>
    </w:p>
    <w:p>
      <w:pPr>
        <w:ind w:left="8920"/>
        <w:spacing w:after="0"/>
        <w:rPr>
          <w:sz w:val="20"/>
          <w:szCs w:val="20"/>
          <w:color w:val="auto"/>
        </w:rPr>
      </w:pPr>
      <w:r>
        <w:rPr>
          <w:rFonts w:ascii="Times New Roman" w:cs="Times New Roman" w:eastAsia="Times New Roman" w:hAnsi="Times New Roman"/>
          <w:sz w:val="18"/>
          <w:szCs w:val="18"/>
          <w:color w:val="auto"/>
        </w:rPr>
        <w:t>Estimated average burden</w:t>
      </w:r>
    </w:p>
    <w:p>
      <w:pPr>
        <w:spacing w:after="0" w:line="9" w:lineRule="exact"/>
        <w:rPr>
          <w:sz w:val="24"/>
          <w:szCs w:val="24"/>
          <w:color w:val="auto"/>
        </w:rPr>
      </w:pPr>
    </w:p>
    <w:p>
      <w:pPr>
        <w:ind w:left="8920"/>
        <w:spacing w:after="0"/>
        <w:tabs>
          <w:tab w:leader="none" w:pos="10480" w:val="left"/>
        </w:tabs>
        <w:rPr>
          <w:sz w:val="20"/>
          <w:szCs w:val="20"/>
          <w:color w:val="auto"/>
        </w:rPr>
      </w:pPr>
      <w:r>
        <w:rPr>
          <w:rFonts w:ascii="Times New Roman" w:cs="Times New Roman" w:eastAsia="Times New Roman" w:hAnsi="Times New Roman"/>
          <w:sz w:val="18"/>
          <w:szCs w:val="18"/>
          <w:color w:val="auto"/>
        </w:rPr>
        <w:t>Hours per response</w:t>
      </w:r>
      <w:r>
        <w:rPr>
          <w:sz w:val="20"/>
          <w:szCs w:val="20"/>
          <w:color w:val="auto"/>
        </w:rPr>
        <w:tab/>
      </w:r>
      <w:r>
        <w:rPr>
          <w:rFonts w:ascii="Times New Roman" w:cs="Times New Roman" w:eastAsia="Times New Roman" w:hAnsi="Times New Roman"/>
          <w:sz w:val="17"/>
          <w:szCs w:val="17"/>
          <w:color w:val="auto"/>
        </w:rPr>
        <w:t>14.90</w:t>
      </w: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color w:val="auto"/>
        </w:rPr>
        <w:t>SCHEDULE 13D</w:t>
      </w:r>
    </w:p>
    <w:p>
      <w:pPr>
        <w:spacing w:after="0" w:line="2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(AMENDMENT NO.7)</w:t>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31115</wp:posOffset>
            </wp:positionV>
            <wp:extent cx="57975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1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1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left="360" w:right="2520"/>
        <w:spacing w:after="0" w:line="260" w:lineRule="auto"/>
        <w:rPr>
          <w:sz w:val="20"/>
          <w:szCs w:val="20"/>
          <w:color w:val="auto"/>
        </w:rPr>
      </w:pPr>
      <w:r>
        <w:rPr>
          <w:rFonts w:ascii="Times New Roman" w:cs="Times New Roman" w:eastAsia="Times New Roman" w:hAnsi="Times New Roman"/>
          <w:sz w:val="18"/>
          <w:szCs w:val="18"/>
          <w:color w:val="auto"/>
        </w:rPr>
        <w:t>DAVID J. SHLADOVSKY, C/O KAYNE ANDERSON CAPITAL ADVISORS, L.P. 1800 AVENUE OF THE STARS, SECOND FLOOR, LOS ANGELES, CA 90067 (310) 556-2721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-3175</wp:posOffset>
            </wp:positionV>
            <wp:extent cx="57975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ind w:left="392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05-15-09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189"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13d-7(b) for other parties to whom copies are to be sent.</w:t>
      </w:r>
    </w:p>
    <w:p>
      <w:pPr>
        <w:spacing w:after="0" w:line="18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10" w:right="359" w:bottom="1440" w:gutter="0" w:footer="0" w:header="0"/>
        </w:sectPr>
      </w:pPr>
    </w:p>
    <w:bookmarkStart w:id="1" w:name="page2"/>
    <w:bookmarkEnd w:id="1"/>
    <w:p>
      <w:pPr>
        <w:spacing w:after="0"/>
        <w:tabs>
          <w:tab w:leader="none" w:pos="5060" w:val="left"/>
          <w:tab w:leader="none" w:pos="9800" w:val="left"/>
        </w:tabs>
        <w:rPr>
          <w:sz w:val="20"/>
          <w:szCs w:val="20"/>
          <w:color w:val="auto"/>
        </w:rPr>
      </w:pPr>
      <w:r>
        <w:rPr>
          <w:rFonts w:ascii="Times New Roman" w:cs="Times New Roman" w:eastAsia="Times New Roman" w:hAnsi="Times New Roman"/>
          <w:sz w:val="18"/>
          <w:szCs w:val="18"/>
          <w:color w:val="auto"/>
        </w:rPr>
        <w:t>CUSIP NO. 726503105</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20" w:hanging="812"/>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2</w:t>
            </w:r>
          </w:p>
        </w:tc>
        <w:tc>
          <w:tcPr>
            <w:tcW w:w="77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180" w:type="dxa"/>
            <w:vAlign w:val="bottom"/>
            <w:tcBorders>
              <w:top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(a) o</w:t>
            </w:r>
          </w:p>
        </w:tc>
      </w:tr>
      <w:tr>
        <w:trPr>
          <w:trHeight w:val="234"/>
        </w:trPr>
        <w:tc>
          <w:tcPr>
            <w:tcW w:w="46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318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 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820" w:hanging="812"/>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20" w:right="8980" w:hanging="812"/>
        <w:spacing w:after="0" w:line="51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 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800" w:val="left"/>
          <w:tab w:leader="none" w:pos="1078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20" w:right="6940" w:hanging="812"/>
        <w:spacing w:after="0" w:line="541" w:lineRule="auto"/>
        <w:tabs>
          <w:tab w:leader="none" w:pos="8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A CALIFORNIA LIMITED PARTNERSHIP</w:t>
      </w:r>
    </w:p>
    <w:tbl>
      <w:tblPr>
        <w:tblLayout w:type="fixed"/>
        <w:tblInd w:w="0" w:type="dxa"/>
        <w:tblCellMar>
          <w:top w:w="0" w:type="dxa"/>
          <w:left w:w="0" w:type="dxa"/>
          <w:bottom w:w="0" w:type="dxa"/>
          <w:right w:w="0" w:type="dxa"/>
        </w:tblCellMar>
      </w:tblPr>
      <w:tr>
        <w:trPr>
          <w:trHeight w:val="243"/>
        </w:trPr>
        <w:tc>
          <w:tcPr>
            <w:tcW w:w="16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42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24"/>
                <w:szCs w:val="24"/>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r>
      <w:tr>
        <w:trPr>
          <w:trHeight w:val="241"/>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p>
        </w:tc>
      </w:tr>
      <w:tr>
        <w:trPr>
          <w:trHeight w:val="198"/>
        </w:trPr>
        <w:tc>
          <w:tcPr>
            <w:tcW w:w="1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BENEFICIALLY</w:t>
            </w:r>
          </w:p>
        </w:tc>
        <w:tc>
          <w:tcPr>
            <w:tcW w:w="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tcPr>
          <w:p>
            <w:pPr>
              <w:spacing w:after="0"/>
              <w:rPr>
                <w:sz w:val="18"/>
                <w:szCs w:val="18"/>
                <w:color w:val="auto"/>
              </w:rPr>
            </w:pPr>
          </w:p>
        </w:tc>
        <w:tc>
          <w:tcPr>
            <w:tcW w:w="932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BY EACH</w:t>
            </w:r>
          </w:p>
        </w:tc>
        <w:tc>
          <w:tcPr>
            <w:tcW w:w="480" w:type="dxa"/>
            <w:vAlign w:val="bottom"/>
          </w:tcPr>
          <w:p>
            <w:pPr>
              <w:spacing w:after="0"/>
              <w:rPr>
                <w:sz w:val="18"/>
                <w:szCs w:val="18"/>
                <w:color w:val="auto"/>
              </w:rPr>
            </w:pPr>
          </w:p>
        </w:tc>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6,932,810</w:t>
            </w:r>
          </w:p>
        </w:tc>
      </w:tr>
      <w:tr>
        <w:trPr>
          <w:trHeight w:val="241"/>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8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SOLE DISPOSITIVE POWER</w:t>
            </w:r>
          </w:p>
        </w:tc>
      </w:tr>
      <w:tr>
        <w:trPr>
          <w:trHeight w:val="414"/>
        </w:trPr>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16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320" w:type="dxa"/>
            <w:vAlign w:val="bottom"/>
            <w:tcBorders>
              <w:bottom w:val="single" w:sz="8" w:color="auto"/>
            </w:tcBorders>
          </w:tcPr>
          <w:p>
            <w:pPr>
              <w:spacing w:after="0"/>
              <w:rPr>
                <w:sz w:val="19"/>
                <w:szCs w:val="19"/>
                <w:color w:val="auto"/>
              </w:rPr>
            </w:pPr>
          </w:p>
        </w:tc>
      </w:tr>
      <w:tr>
        <w:trPr>
          <w:trHeight w:val="234"/>
        </w:trPr>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SHARED DISPOSITIVE POWER</w:t>
            </w:r>
          </w:p>
        </w:tc>
      </w:tr>
      <w:tr>
        <w:trPr>
          <w:trHeight w:val="441"/>
        </w:trPr>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6,932,810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820" w:right="4040" w:hanging="812"/>
        <w:spacing w:after="0" w:line="51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6,932,810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800" w:val="left"/>
          <w:tab w:leader="none" w:pos="107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w:t>
      </w:r>
      <w:r>
        <w:rPr>
          <w:sz w:val="20"/>
          <w:szCs w:val="20"/>
          <w:color w:val="auto"/>
        </w:rPr>
        <w:tab/>
      </w: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20" w:right="5580" w:hanging="812"/>
        <w:spacing w:after="0" w:line="51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5.39%</w:t>
      </w:r>
    </w:p>
    <w:p>
      <w:pPr>
        <w:spacing w:after="0" w:line="1" w:lineRule="exact"/>
        <w:rPr>
          <w:rFonts w:ascii="Times New Roman" w:cs="Times New Roman" w:eastAsia="Times New Roman" w:hAnsi="Times New Roman"/>
          <w:sz w:val="18"/>
          <w:szCs w:val="18"/>
          <w:color w:val="auto"/>
        </w:rPr>
      </w:pPr>
    </w:p>
    <w:p>
      <w:pPr>
        <w:ind w:left="820" w:right="8100" w:hanging="812"/>
        <w:spacing w:after="0" w:line="53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-587375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tabs>
          <w:tab w:leader="none" w:pos="5060" w:val="left"/>
          <w:tab w:leader="none" w:pos="9800" w:val="left"/>
        </w:tabs>
        <w:rPr>
          <w:sz w:val="20"/>
          <w:szCs w:val="20"/>
          <w:color w:val="auto"/>
        </w:rPr>
      </w:pPr>
      <w:r>
        <w:rPr>
          <w:rFonts w:ascii="Times New Roman" w:cs="Times New Roman" w:eastAsia="Times New Roman" w:hAnsi="Times New Roman"/>
          <w:sz w:val="18"/>
          <w:szCs w:val="18"/>
          <w:color w:val="auto"/>
        </w:rPr>
        <w:t>CUSIP NO. 726503105</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300" w:hanging="129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2</w:t>
            </w:r>
          </w:p>
        </w:tc>
        <w:tc>
          <w:tcPr>
            <w:tcW w:w="7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40" w:type="dxa"/>
            <w:vAlign w:val="bottom"/>
            <w:tcBorders>
              <w:top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(a) o</w:t>
            </w:r>
          </w:p>
        </w:tc>
      </w:tr>
      <w:tr>
        <w:trPr>
          <w:trHeight w:val="234"/>
        </w:trPr>
        <w:tc>
          <w:tcPr>
            <w:tcW w:w="70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9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 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300" w:hanging="129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300" w:right="8500" w:hanging="1292"/>
        <w:spacing w:after="0" w:line="51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 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1280" w:val="left"/>
          <w:tab w:leader="none" w:pos="1080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8"/>
          <w:szCs w:val="18"/>
          <w:color w:val="auto"/>
        </w:rPr>
        <w:t>o</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01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r>
      <w:tr>
        <w:trPr>
          <w:trHeight w:val="414"/>
        </w:trPr>
        <w:tc>
          <w:tcPr>
            <w:tcW w:w="12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U.S. CITIZEN</w:t>
            </w:r>
          </w:p>
        </w:tc>
        <w:tc>
          <w:tcPr>
            <w:tcW w:w="8740" w:type="dxa"/>
            <w:vAlign w:val="bottom"/>
          </w:tcPr>
          <w:p>
            <w:pPr>
              <w:spacing w:after="0"/>
              <w:rPr>
                <w:sz w:val="24"/>
                <w:szCs w:val="24"/>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740" w:type="dxa"/>
            <w:vAlign w:val="bottom"/>
            <w:tcBorders>
              <w:bottom w:val="single" w:sz="8" w:color="auto"/>
            </w:tcBorders>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14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42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274,649</w:t>
            </w:r>
          </w:p>
        </w:tc>
      </w:tr>
      <w:tr>
        <w:trPr>
          <w:trHeight w:val="24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p>
        </w:tc>
      </w:tr>
      <w:tr>
        <w:trPr>
          <w:trHeight w:val="22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BY EACH</w:t>
            </w: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6,932,810</w:t>
            </w:r>
          </w:p>
        </w:tc>
      </w:tr>
      <w:tr>
        <w:trPr>
          <w:trHeight w:val="24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r>
      <w:tr>
        <w:trPr>
          <w:trHeight w:val="441"/>
        </w:trPr>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274,649</w:t>
            </w:r>
          </w:p>
        </w:tc>
      </w:tr>
      <w:tr>
        <w:trPr>
          <w:trHeight w:val="223"/>
        </w:trPr>
        <w:tc>
          <w:tcPr>
            <w:tcW w:w="128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874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r>
      <w:tr>
        <w:trPr>
          <w:trHeight w:val="441"/>
        </w:trPr>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6,932,810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300" w:right="3580" w:hanging="1292"/>
        <w:spacing w:after="0" w:line="51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7,207,459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1280" w:val="left"/>
          <w:tab w:leader="none" w:pos="108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w:t>
      </w:r>
      <w:r>
        <w:rPr>
          <w:sz w:val="20"/>
          <w:szCs w:val="20"/>
          <w:color w:val="auto"/>
        </w:rPr>
        <w:tab/>
      </w: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300" w:right="5100" w:hanging="1292"/>
        <w:spacing w:after="0" w:line="51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5.60%</w:t>
      </w:r>
    </w:p>
    <w:p>
      <w:pPr>
        <w:spacing w:after="0" w:line="1" w:lineRule="exact"/>
        <w:rPr>
          <w:rFonts w:ascii="Times New Roman" w:cs="Times New Roman" w:eastAsia="Times New Roman" w:hAnsi="Times New Roman"/>
          <w:sz w:val="18"/>
          <w:szCs w:val="18"/>
          <w:color w:val="auto"/>
        </w:rPr>
      </w:pPr>
    </w:p>
    <w:p>
      <w:pPr>
        <w:ind w:left="1300" w:right="7620" w:hanging="1292"/>
        <w:spacing w:after="0" w:line="53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-587375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PAGE 4 OF 7 PAGES</w:t>
      </w: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Units, $0.10 par value.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include Kayne Anderson Capital Advisors, L.P. and Richard A. Kayne.</w:t>
      </w:r>
    </w:p>
    <w:p>
      <w:pPr>
        <w:spacing w:after="0" w:line="24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Kayne Anderson Capital Advisors, L.P.</w:t>
      </w:r>
    </w:p>
    <w:p>
      <w:pPr>
        <w:spacing w:after="0" w:line="256" w:lineRule="exact"/>
        <w:rPr>
          <w:rFonts w:ascii="Times New Roman" w:cs="Times New Roman" w:eastAsia="Times New Roman" w:hAnsi="Times New Roman"/>
          <w:sz w:val="18"/>
          <w:szCs w:val="18"/>
          <w:color w:val="auto"/>
        </w:rPr>
      </w:pPr>
    </w:p>
    <w:p>
      <w:pPr>
        <w:ind w:left="66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Kayne Anderson Capital Advisors, L.P. (“KACALP”), a California limited partnership, is an investment adviser registered with the Securities and Exchange Commission under the Investment Advisers Act of 1940. It serves as sole general partner of and investment adviser to various investment partnerships holding the issuer’s Common Units. KACALP also serves as investment adviser to Kayne Anderson MLP Investment Company (“KAMIC”), Kayne Anderson Energy Total Return Fund (“KATRF”), and Kayne Anderson Energy Development Company (“KED”), publicly traded closed-end funds, and a small number of separate account clients which hold the issuer’s Common Stock.</w:t>
      </w:r>
    </w:p>
    <w:p>
      <w:pPr>
        <w:spacing w:after="0" w:line="210" w:lineRule="exact"/>
        <w:rPr>
          <w:rFonts w:ascii="Times New Roman" w:cs="Times New Roman" w:eastAsia="Times New Roman" w:hAnsi="Times New Roman"/>
          <w:sz w:val="18"/>
          <w:szCs w:val="18"/>
          <w:color w:val="auto"/>
        </w:rPr>
      </w:pPr>
    </w:p>
    <w:p>
      <w:pPr>
        <w:ind w:left="660" w:righ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Kayne Anderson Investment Management, Inc. (“KAIM”), a Nevada corporation, is the sole general partner of KACALP. KAIM is owned by KA Holdings, Inc. (“KA Holdings”), a California corporation, the shareholders of which are Richard A. Kayne and John E. Anderson. The principal business address of the Reporting Persons, KAIM and KA Holdings is 1800 Avenue of the Stars, Second Floor, Los Angeles, California 90067.</w:t>
      </w:r>
    </w:p>
    <w:p>
      <w:pPr>
        <w:spacing w:after="0" w:line="1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Richard A. Kayne</w:t>
      </w:r>
    </w:p>
    <w:p>
      <w:pPr>
        <w:spacing w:after="0" w:line="25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Kayne, a U.S. citizen, is President, Chief Executive Officer and Director of KAIM and KA Holdings.</w:t>
      </w:r>
    </w:p>
    <w:p>
      <w:pPr>
        <w:spacing w:after="0" w:line="252" w:lineRule="exact"/>
        <w:rPr>
          <w:rFonts w:ascii="Times New Roman" w:cs="Times New Roman" w:eastAsia="Times New Roman" w:hAnsi="Times New Roman"/>
          <w:sz w:val="18"/>
          <w:szCs w:val="18"/>
          <w:color w:val="auto"/>
        </w:rPr>
      </w:pPr>
    </w:p>
    <w:p>
      <w:pPr>
        <w:ind w:left="660"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Kayne also serves as President and Director of KA Associates, Inc., a Nevada corporation (“KAA”). KAA is a registered broker/dealer. The principal business address of KAA is 1800 Avenue of the Stars, Second Floor, Los Angeles, CA 90067.</w:t>
      </w:r>
    </w:p>
    <w:p>
      <w:pPr>
        <w:spacing w:after="0" w:line="188" w:lineRule="exact"/>
        <w:rPr>
          <w:rFonts w:ascii="Times New Roman" w:cs="Times New Roman" w:eastAsia="Times New Roman" w:hAnsi="Times New Roman"/>
          <w:sz w:val="18"/>
          <w:szCs w:val="18"/>
          <w:color w:val="auto"/>
        </w:rPr>
      </w:pPr>
    </w:p>
    <w:p>
      <w:pPr>
        <w:ind w:left="660" w:right="50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KAIM or KA Holdings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PAGE 5 OF 7 PAGES</w:t>
      </w:r>
    </w:p>
    <w:p>
      <w:pPr>
        <w:spacing w:after="0" w:line="200" w:lineRule="exact"/>
        <w:rPr>
          <w:sz w:val="20"/>
          <w:szCs w:val="20"/>
          <w:color w:val="auto"/>
        </w:rPr>
      </w:pPr>
    </w:p>
    <w:p>
      <w:pPr>
        <w:spacing w:after="0" w:line="322" w:lineRule="exact"/>
        <w:rPr>
          <w:sz w:val="20"/>
          <w:szCs w:val="20"/>
          <w:color w:val="auto"/>
        </w:rPr>
      </w:pPr>
    </w:p>
    <w:p>
      <w:pPr>
        <w:ind w:left="660" w:right="20" w:hanging="652"/>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persons are officers and/or directors of one or more of KAIM and KA Holdings. (KACALP, a limited partnership, does not have any executive officers or directors.) Each such person is a U.S. citizen whose address is, unless noted otherwise, 1800 Avenue of the Stars, Second Floor, Los Angeles, California 90067. None of such persons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pacing w:after="0" w:line="211" w:lineRule="exact"/>
        <w:rPr>
          <w:sz w:val="20"/>
          <w:szCs w:val="20"/>
          <w:color w:val="auto"/>
        </w:rPr>
      </w:pPr>
    </w:p>
    <w:p>
      <w:pPr>
        <w:jc w:val="center"/>
        <w:ind w:left="760" w:right="140"/>
        <w:spacing w:after="0" w:line="286" w:lineRule="auto"/>
        <w:rPr>
          <w:sz w:val="20"/>
          <w:szCs w:val="20"/>
          <w:color w:val="auto"/>
        </w:rPr>
      </w:pPr>
      <w:r>
        <w:rPr>
          <w:rFonts w:ascii="Times New Roman" w:cs="Times New Roman" w:eastAsia="Times New Roman" w:hAnsi="Times New Roman"/>
          <w:sz w:val="18"/>
          <w:szCs w:val="18"/>
          <w:b w:val="1"/>
          <w:bCs w:val="1"/>
          <w:color w:val="auto"/>
        </w:rPr>
        <w:t>John E. Anderson</w:t>
      </w:r>
      <w:r>
        <w:rPr>
          <w:rFonts w:ascii="Times New Roman" w:cs="Times New Roman" w:eastAsia="Times New Roman" w:hAnsi="Times New Roman"/>
          <w:sz w:val="18"/>
          <w:szCs w:val="18"/>
          <w:color w:val="auto"/>
        </w:rPr>
        <w:t>.          Chairman of Topa Equities, Ltd., a diversified investment company located at 1800 Avenue of the Stars, Suite 1400,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 Angeles, California 90067. Mr. Anderson is Director of KAIM and KA Holdings.</w:t>
      </w:r>
    </w:p>
    <w:p>
      <w:pPr>
        <w:spacing w:after="0" w:line="182" w:lineRule="exact"/>
        <w:rPr>
          <w:sz w:val="20"/>
          <w:szCs w:val="20"/>
          <w:color w:val="auto"/>
        </w:rPr>
      </w:pPr>
    </w:p>
    <w:p>
      <w:pPr>
        <w:ind w:left="660"/>
        <w:spacing w:after="0"/>
        <w:tabs>
          <w:tab w:leader="none" w:pos="2900" w:val="left"/>
        </w:tabs>
        <w:rPr>
          <w:sz w:val="20"/>
          <w:szCs w:val="20"/>
          <w:color w:val="auto"/>
        </w:rPr>
      </w:pPr>
      <w:r>
        <w:rPr>
          <w:rFonts w:ascii="Times New Roman" w:cs="Times New Roman" w:eastAsia="Times New Roman" w:hAnsi="Times New Roman"/>
          <w:sz w:val="18"/>
          <w:szCs w:val="18"/>
          <w:b w:val="1"/>
          <w:bCs w:val="1"/>
          <w:color w:val="auto"/>
        </w:rPr>
        <w:t>Howard M. Zelikow</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Vice President and Director of KAIM</w:t>
      </w:r>
    </w:p>
    <w:p>
      <w:pPr>
        <w:spacing w:after="0" w:line="252" w:lineRule="exact"/>
        <w:rPr>
          <w:sz w:val="20"/>
          <w:szCs w:val="20"/>
          <w:color w:val="auto"/>
        </w:rPr>
      </w:pPr>
    </w:p>
    <w:p>
      <w:pPr>
        <w:ind w:left="660"/>
        <w:spacing w:after="0"/>
        <w:tabs>
          <w:tab w:leader="none" w:pos="2900" w:val="left"/>
        </w:tabs>
        <w:rPr>
          <w:sz w:val="20"/>
          <w:szCs w:val="20"/>
          <w:color w:val="auto"/>
        </w:rPr>
      </w:pPr>
      <w:r>
        <w:rPr>
          <w:rFonts w:ascii="Times New Roman" w:cs="Times New Roman" w:eastAsia="Times New Roman" w:hAnsi="Times New Roman"/>
          <w:sz w:val="18"/>
          <w:szCs w:val="18"/>
          <w:b w:val="1"/>
          <w:bCs w:val="1"/>
          <w:color w:val="auto"/>
        </w:rPr>
        <w:t>Robert V. Sinnott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President of KAIM</w:t>
      </w:r>
    </w:p>
    <w:p>
      <w:pPr>
        <w:spacing w:after="0" w:line="252" w:lineRule="exact"/>
        <w:rPr>
          <w:sz w:val="20"/>
          <w:szCs w:val="20"/>
          <w:color w:val="auto"/>
        </w:rPr>
      </w:pPr>
    </w:p>
    <w:p>
      <w:pPr>
        <w:ind w:left="660"/>
        <w:spacing w:after="0"/>
        <w:tabs>
          <w:tab w:leader="none" w:pos="2900" w:val="left"/>
        </w:tabs>
        <w:rPr>
          <w:sz w:val="20"/>
          <w:szCs w:val="20"/>
          <w:color w:val="auto"/>
        </w:rPr>
      </w:pPr>
      <w:r>
        <w:rPr>
          <w:rFonts w:ascii="Times New Roman" w:cs="Times New Roman" w:eastAsia="Times New Roman" w:hAnsi="Times New Roman"/>
          <w:sz w:val="18"/>
          <w:szCs w:val="18"/>
          <w:b w:val="1"/>
          <w:bCs w:val="1"/>
          <w:color w:val="auto"/>
        </w:rPr>
        <w:t>David J. Shladovsky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General Counsel and Secretary of KAIM and KA Holdings.</w:t>
      </w:r>
    </w:p>
    <w:p>
      <w:pPr>
        <w:spacing w:after="0" w:line="252" w:lineRule="exact"/>
        <w:rPr>
          <w:sz w:val="20"/>
          <w:szCs w:val="20"/>
          <w:color w:val="auto"/>
        </w:rPr>
      </w:pPr>
    </w:p>
    <w:p>
      <w:pPr>
        <w:ind w:left="660"/>
        <w:spacing w:after="0"/>
        <w:tabs>
          <w:tab w:leader="none" w:pos="2900" w:val="left"/>
        </w:tabs>
        <w:rPr>
          <w:sz w:val="20"/>
          <w:szCs w:val="20"/>
          <w:color w:val="auto"/>
        </w:rPr>
      </w:pPr>
      <w:r>
        <w:rPr>
          <w:rFonts w:ascii="Times New Roman" w:cs="Times New Roman" w:eastAsia="Times New Roman" w:hAnsi="Times New Roman"/>
          <w:sz w:val="18"/>
          <w:szCs w:val="18"/>
          <w:b w:val="1"/>
          <w:bCs w:val="1"/>
          <w:color w:val="auto"/>
        </w:rPr>
        <w:t>John F. Daley.</w:t>
      </w:r>
      <w:r>
        <w:rPr>
          <w:sz w:val="20"/>
          <w:szCs w:val="20"/>
          <w:color w:val="auto"/>
        </w:rPr>
        <w:tab/>
      </w:r>
      <w:r>
        <w:rPr>
          <w:rFonts w:ascii="Times New Roman" w:cs="Times New Roman" w:eastAsia="Times New Roman" w:hAnsi="Times New Roman"/>
          <w:sz w:val="18"/>
          <w:szCs w:val="18"/>
          <w:color w:val="auto"/>
        </w:rPr>
        <w:t>Chief Financial Officer and Treasurer of KAIM and KA Holdings.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Schedule 13D is filed for purposes of disclosing that the Reporting Persons ownership has declined as a result of a May 15, 2009 distribution to partners by a KACALP managed partnership of all of its shares of Issuer’s outstanding Common Units.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56" w:lineRule="exact"/>
        <w:rPr>
          <w:sz w:val="20"/>
          <w:szCs w:val="20"/>
          <w:color w:val="auto"/>
        </w:rPr>
      </w:pPr>
    </w:p>
    <w:p>
      <w:pPr>
        <w:ind w:right="60" w:firstLine="8"/>
        <w:spacing w:after="0" w:line="266" w:lineRule="auto"/>
        <w:tabs>
          <w:tab w:leader="none" w:pos="6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15, 2009 (after giving effect to the distribution described in Item 4), Mr. Kayne beneficially owns 7,207,459 Common Units, or approximately 5.60% of the outstanding Common Units. Of those Common Units, KACALP, as general partner of or investment adviser to investment funds accounts, beneficially owns 6,932,810 Common Units, or approximately 5.39% of the outstanding Common Units.</w:t>
      </w:r>
    </w:p>
    <w:p>
      <w:pPr>
        <w:spacing w:after="0" w:line="203" w:lineRule="exact"/>
        <w:rPr>
          <w:rFonts w:ascii="Times New Roman" w:cs="Times New Roman" w:eastAsia="Times New Roman" w:hAnsi="Times New Roman"/>
          <w:sz w:val="18"/>
          <w:szCs w:val="18"/>
          <w:color w:val="auto"/>
        </w:rPr>
      </w:pPr>
    </w:p>
    <w:p>
      <w:pPr>
        <w:ind w:right="20" w:firstLine="8"/>
        <w:spacing w:after="0" w:line="282" w:lineRule="auto"/>
        <w:tabs>
          <w:tab w:leader="none" w:pos="6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Mr. Kayne has the sole power to vote and dispose, or direct the disposition, of 274,649 Common Units, and (ii) Mr. Kayne and KACALP have the shared power to vote and dispose, or direct the disposition, of 6,932,810 Common Units.</w:t>
      </w:r>
    </w:p>
    <w:p>
      <w:pPr>
        <w:spacing w:after="0" w:line="18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Common Units over which Mr. Kayne has sole voting and dispositive power are held by him directly or by accounts for which he serves as trustee or custodian. The Common Units over which Mr. Kayne and KACALP have shared voting and dispositive power are held by accounts for which KACALP serves as general partner or investment adviser.</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KACALP disclaims beneficial ownership of the Common Units reported, except those Common Units attributable to it by virtue of its general partner interests in the limited partnerships holding such shares. Mr. Kayne disclaims beneficial ownership of the Common Units reported, except those Common Units held by him or attributable to him by virtue of his limited partner interests in such limited partnerships, by virtue of his indirect interest in the interest of KACALP in such limited partnerships and by his ownership of shares in KAMIC.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PAGE 6 OF 7 PAGES</w:t>
      </w:r>
    </w:p>
    <w:p>
      <w:pPr>
        <w:spacing w:after="0" w:line="200" w:lineRule="exact"/>
        <w:rPr>
          <w:sz w:val="20"/>
          <w:szCs w:val="20"/>
          <w:color w:val="auto"/>
        </w:rPr>
      </w:pPr>
    </w:p>
    <w:p>
      <w:pPr>
        <w:spacing w:after="0" w:line="322" w:lineRule="exact"/>
        <w:rPr>
          <w:sz w:val="20"/>
          <w:szCs w:val="20"/>
          <w:color w:val="auto"/>
        </w:rPr>
      </w:pPr>
    </w:p>
    <w:p>
      <w:pPr>
        <w:ind w:left="620" w:hanging="612"/>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transactions in the Common Units beneficially owned by the Reporting Persons were effected in the last 60 days: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34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of shares</w:t>
            </w:r>
          </w:p>
        </w:tc>
        <w:tc>
          <w:tcPr>
            <w:tcW w:w="3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Price</w:t>
            </w:r>
          </w:p>
        </w:tc>
        <w:tc>
          <w:tcPr>
            <w:tcW w:w="34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Where/how transaction effected</w:t>
            </w:r>
          </w:p>
        </w:tc>
      </w:t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6"/>
        </w:trPr>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05/15/09</w:t>
            </w:r>
          </w:p>
        </w:tc>
        <w:tc>
          <w:tcPr>
            <w:tcW w:w="26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906,549</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rata distribution to partners in investment partnership.</w:t>
            </w:r>
          </w:p>
        </w:tc>
      </w:tr>
    </w:tbl>
    <w:p>
      <w:pPr>
        <w:spacing w:after="0" w:line="200" w:lineRule="exact"/>
        <w:rPr>
          <w:sz w:val="20"/>
          <w:szCs w:val="20"/>
          <w:color w:val="auto"/>
        </w:rPr>
      </w:pPr>
    </w:p>
    <w:p>
      <w:pPr>
        <w:spacing w:after="0" w:line="268" w:lineRule="exact"/>
        <w:rPr>
          <w:sz w:val="20"/>
          <w:szCs w:val="20"/>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95" w:lineRule="exact"/>
        <w:rPr>
          <w:sz w:val="20"/>
          <w:szCs w:val="20"/>
          <w:color w:val="auto"/>
        </w:rPr>
      </w:pPr>
    </w:p>
    <w:p>
      <w:pPr>
        <w:jc w:val="center"/>
        <w:ind w:right="6720"/>
        <w:spacing w:after="0"/>
        <w:rPr>
          <w:sz w:val="20"/>
          <w:szCs w:val="20"/>
          <w:color w:val="auto"/>
        </w:rPr>
      </w:pPr>
      <w:r>
        <w:rPr>
          <w:rFonts w:ascii="Times New Roman" w:cs="Times New Roman" w:eastAsia="Times New Roman" w:hAnsi="Times New Roman"/>
          <w:sz w:val="18"/>
          <w:szCs w:val="18"/>
          <w:color w:val="auto"/>
        </w:rPr>
        <w:t>May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756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jc w:val="center"/>
        <w:ind w:right="672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jc w:val="center"/>
        <w:ind w:right="6720"/>
        <w:spacing w:after="0"/>
        <w:rPr>
          <w:sz w:val="20"/>
          <w:szCs w:val="20"/>
          <w:color w:val="auto"/>
        </w:rPr>
      </w:pPr>
      <w:r>
        <w:rPr>
          <w:rFonts w:ascii="Times New Roman" w:cs="Times New Roman" w:eastAsia="Times New Roman" w:hAnsi="Times New Roman"/>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756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jc w:val="center"/>
        <w:ind w:right="6720"/>
        <w:spacing w:after="0"/>
        <w:rPr>
          <w:sz w:val="20"/>
          <w:szCs w:val="20"/>
          <w:color w:val="auto"/>
        </w:rPr>
      </w:pPr>
      <w:r>
        <w:rPr>
          <w:rFonts w:ascii="Times New Roman" w:cs="Times New Roman" w:eastAsia="Times New Roman" w:hAnsi="Times New Roman"/>
          <w:sz w:val="18"/>
          <w:szCs w:val="18"/>
          <w:color w:val="auto"/>
        </w:rPr>
        <w:t>Richard A. Kayne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KAYNE ANDERSON CAPITAL ADVISORS, 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Kayne Anderson Investment Management, Inc.</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By: /S/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17145</wp:posOffset>
            </wp:positionV>
            <wp:extent cx="25298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David J. Shladovsky,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PAGE 7 OF 7 PAGES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 PURSUANT TO RULE 13d-1(f)(1)</w:t>
      </w: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84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Richard A. Kayne</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84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Kayne Anderson Capital Advisors, L.P.,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David J. Shladovsky, Secretary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Kayne Anderson Investment Management,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4"/>
      <w:numFmt w:val="bullet"/>
      <w:start w:val="1"/>
    </w:lvl>
  </w:abstractNum>
  <w:abstractNum w:abstractNumId="3">
    <w:nsid w:val="4DB127F8"/>
    <w:multiLevelType w:val="hybridMultilevel"/>
    <w:lvl w:ilvl="0">
      <w:lvlJc w:val="left"/>
      <w:lvlText w:val="6"/>
      <w:numFmt w:val="bullet"/>
      <w:start w:val="1"/>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3"/>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3"/>
      <w:numFmt w:val="bullet"/>
      <w:start w:val="1"/>
    </w:lvl>
  </w:abstractNum>
  <w:abstractNum w:abstractNumId="8">
    <w:nsid w:val="140E0F76"/>
    <w:multiLevelType w:val="hybridMultilevel"/>
    <w:lvl w:ilvl="0">
      <w:lvlJc w:val="left"/>
      <w:lvlText w:val="4"/>
      <w:numFmt w:val="bullet"/>
      <w:start w:val="1"/>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decimal"/>
      <w:start w:val="13"/>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4"/>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2019-12-17T04:05:21Z</dcterms:created>
  <dcterms:modified xsi:type="dcterms:W3CDTF">2019-12-17T04:05:21Z</dcterms:modified>
</cp:coreProperties>
</file>