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720" w:right="300" w:hanging="388"/>
        <w:spacing w:after="0" w:line="256" w:lineRule="auto"/>
        <w:tabs>
          <w:tab w:leader="none" w:pos="588"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right="240" w:hanging="388"/>
        <w:spacing w:after="0" w:line="256" w:lineRule="auto"/>
        <w:tabs>
          <w:tab w:leader="none" w:pos="628"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140" w:type="dxa"/>
        <w:tblCellMar>
          <w:top w:w="0" w:type="dxa"/>
          <w:left w:w="0" w:type="dxa"/>
          <w:bottom w:w="0" w:type="dxa"/>
          <w:right w:w="0" w:type="dxa"/>
        </w:tblCellMar>
      </w:tblPr>
      <w:tr>
        <w:trPr>
          <w:trHeight w:val="220"/>
        </w:trPr>
        <w:tc>
          <w:tcPr>
            <w:tcW w:w="6660" w:type="dxa"/>
            <w:vAlign w:val="bottom"/>
          </w:tcPr>
          <w:p>
            <w:pPr>
              <w:jc w:val="center"/>
              <w:ind w:right="3250"/>
              <w:spacing w:after="0"/>
              <w:rPr>
                <w:sz w:val="20"/>
                <w:szCs w:val="20"/>
                <w:color w:val="auto"/>
              </w:rPr>
            </w:pPr>
            <w:r>
              <w:rPr>
                <w:rFonts w:ascii="Arial" w:cs="Arial" w:eastAsia="Arial" w:hAnsi="Arial"/>
                <w:sz w:val="18"/>
                <w:szCs w:val="18"/>
                <w:b w:val="1"/>
                <w:bCs w:val="1"/>
                <w:color w:val="auto"/>
                <w:w w:val="91"/>
              </w:rPr>
              <w:t>Delaware</w:t>
            </w: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90-1005472</w:t>
            </w:r>
          </w:p>
        </w:tc>
      </w:tr>
      <w:tr>
        <w:trPr>
          <w:trHeight w:val="216"/>
        </w:trPr>
        <w:tc>
          <w:tcPr>
            <w:tcW w:w="6660" w:type="dxa"/>
            <w:vAlign w:val="bottom"/>
          </w:tcPr>
          <w:p>
            <w:pPr>
              <w:jc w:val="center"/>
              <w:ind w:right="3250"/>
              <w:spacing w:after="0"/>
              <w:rPr>
                <w:sz w:val="20"/>
                <w:szCs w:val="20"/>
                <w:color w:val="auto"/>
              </w:rPr>
            </w:pPr>
            <w:r>
              <w:rPr>
                <w:rFonts w:ascii="Arial" w:cs="Arial" w:eastAsia="Arial" w:hAnsi="Arial"/>
                <w:sz w:val="18"/>
                <w:szCs w:val="18"/>
                <w:color w:val="auto"/>
                <w:w w:val="92"/>
              </w:rPr>
              <w:t>(State or other jurisdiction of</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2"/>
              </w:rPr>
              <w:t>(I.R.S. Employer</w:t>
            </w:r>
          </w:p>
        </w:tc>
      </w:tr>
      <w:tr>
        <w:trPr>
          <w:trHeight w:val="230"/>
        </w:trPr>
        <w:tc>
          <w:tcPr>
            <w:tcW w:w="6660" w:type="dxa"/>
            <w:vAlign w:val="bottom"/>
          </w:tcPr>
          <w:p>
            <w:pPr>
              <w:jc w:val="center"/>
              <w:ind w:right="325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660" w:type="dxa"/>
            <w:vAlign w:val="bottom"/>
          </w:tcPr>
          <w:p>
            <w:pPr>
              <w:jc w:val="center"/>
              <w:ind w:right="3250"/>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77002</w:t>
            </w:r>
          </w:p>
        </w:tc>
      </w:tr>
      <w:tr>
        <w:trPr>
          <w:trHeight w:val="230"/>
        </w:trPr>
        <w:tc>
          <w:tcPr>
            <w:tcW w:w="6660" w:type="dxa"/>
            <w:vAlign w:val="bottom"/>
          </w:tcPr>
          <w:p>
            <w:pPr>
              <w:jc w:val="center"/>
              <w:ind w:right="3230"/>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1"/>
              </w:rPr>
              <w:t>(Zip Code)</w:t>
            </w:r>
          </w:p>
        </w:tc>
      </w:tr>
      <w:tr>
        <w:trPr>
          <w:trHeight w:val="418"/>
        </w:trPr>
        <w:tc>
          <w:tcPr>
            <w:tcW w:w="6660" w:type="dxa"/>
            <w:vAlign w:val="bottom"/>
          </w:tcPr>
          <w:p>
            <w:pPr>
              <w:jc w:val="right"/>
              <w:ind w:right="1430"/>
              <w:spacing w:after="0"/>
              <w:rPr>
                <w:sz w:val="20"/>
                <w:szCs w:val="20"/>
                <w:color w:val="auto"/>
              </w:rPr>
            </w:pPr>
            <w:r>
              <w:rPr>
                <w:rFonts w:ascii="Arial" w:cs="Arial" w:eastAsia="Arial" w:hAnsi="Arial"/>
                <w:sz w:val="18"/>
                <w:szCs w:val="18"/>
                <w:b w:val="1"/>
                <w:bCs w:val="1"/>
                <w:color w:val="auto"/>
              </w:rPr>
              <w:t>(713) 646-4100</w:t>
            </w:r>
          </w:p>
        </w:tc>
        <w:tc>
          <w:tcPr>
            <w:tcW w:w="1500" w:type="dxa"/>
            <w:vAlign w:val="bottom"/>
          </w:tcPr>
          <w:p>
            <w:pPr>
              <w:spacing w:after="0"/>
              <w:rPr>
                <w:sz w:val="24"/>
                <w:szCs w:val="24"/>
                <w:color w:val="auto"/>
              </w:rPr>
            </w:pPr>
          </w:p>
        </w:tc>
      </w:tr>
      <w:tr>
        <w:trPr>
          <w:trHeight w:val="230"/>
        </w:trPr>
        <w:tc>
          <w:tcPr>
            <w:tcW w:w="6660" w:type="dxa"/>
            <w:vAlign w:val="bottom"/>
          </w:tcPr>
          <w:p>
            <w:pPr>
              <w:jc w:val="center"/>
              <w:ind w:left="2390"/>
              <w:spacing w:after="0"/>
              <w:rPr>
                <w:sz w:val="20"/>
                <w:szCs w:val="20"/>
                <w:color w:val="auto"/>
              </w:rPr>
            </w:pPr>
            <w:r>
              <w:rPr>
                <w:rFonts w:ascii="Arial" w:cs="Arial" w:eastAsia="Arial" w:hAnsi="Arial"/>
                <w:sz w:val="18"/>
                <w:szCs w:val="18"/>
                <w:color w:val="auto"/>
                <w:w w:val="90"/>
              </w:rPr>
              <w:t>(Registrant’s telephone number, including area code)</w:t>
            </w:r>
          </w:p>
        </w:tc>
        <w:tc>
          <w:tcPr>
            <w:tcW w:w="15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81"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7" w:lineRule="exact"/>
        <w:rPr>
          <w:sz w:val="24"/>
          <w:szCs w:val="24"/>
          <w:color w:val="auto"/>
        </w:rPr>
      </w:pPr>
    </w:p>
    <w:p>
      <w:pPr>
        <w:ind w:left="1900"/>
        <w:spacing w:after="0"/>
        <w:tabs>
          <w:tab w:leader="none" w:pos="79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7"/>
          <w:szCs w:val="17"/>
          <w:color w:val="auto"/>
        </w:rPr>
        <w:t>Accelerated filer o</w:t>
      </w:r>
    </w:p>
    <w:p>
      <w:pPr>
        <w:spacing w:after="0" w:line="225" w:lineRule="exact"/>
        <w:rPr>
          <w:sz w:val="24"/>
          <w:szCs w:val="24"/>
          <w:color w:val="auto"/>
        </w:rPr>
      </w:pPr>
    </w:p>
    <w:p>
      <w:pPr>
        <w:ind w:left="1960"/>
        <w:spacing w:after="0"/>
        <w:tabs>
          <w:tab w:leader="none" w:pos="7540" w:val="left"/>
        </w:tabs>
        <w:rPr>
          <w:sz w:val="20"/>
          <w:szCs w:val="20"/>
          <w:color w:val="auto"/>
        </w:rPr>
      </w:pPr>
      <w:r>
        <w:rPr>
          <w:rFonts w:ascii="Arial" w:cs="Arial" w:eastAsia="Arial" w:hAnsi="Arial"/>
          <w:sz w:val="18"/>
          <w:szCs w:val="18"/>
          <w:color w:val="auto"/>
        </w:rPr>
        <w:t>Non-accelerated filer x</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31, 2014, there were 136,046,637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380"/>
          </w:cols>
          <w:pgMar w:left="240" w:top="233" w:right="279" w:bottom="0" w:gutter="0" w:footer="0" w:header="0"/>
        </w:sectPr>
      </w:pPr>
    </w:p>
    <w:p>
      <w:pPr>
        <w:spacing w:after="0" w:line="202" w:lineRule="exact"/>
        <w:rPr>
          <w:sz w:val="24"/>
          <w:szCs w:val="24"/>
          <w:color w:val="auto"/>
        </w:rPr>
      </w:pPr>
    </w:p>
    <w:p>
      <w:pPr>
        <w:ind w:left="10900"/>
        <w:spacing w:after="0"/>
        <w:rPr>
          <w:sz w:val="20"/>
          <w:szCs w:val="20"/>
          <w:color w:val="auto"/>
        </w:rPr>
      </w:pPr>
      <w:r>
        <w:rPr>
          <w:rFonts w:ascii="Arial" w:cs="Arial" w:eastAsia="Arial" w:hAnsi="Arial"/>
          <w:sz w:val="11"/>
          <w:szCs w:val="11"/>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6771640</wp:posOffset>
            </wp:positionH>
            <wp:positionV relativeFrom="paragraph">
              <wp:posOffset>28575</wp:posOffset>
            </wp:positionV>
            <wp:extent cx="4800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ectPr>
          <w:pgSz w:w="11900" w:h="16838" w:orient="portrait"/>
          <w:cols w:equalWidth="0" w:num="1">
            <w:col w:w="11380"/>
          </w:cols>
          <w:pgMar w:left="240" w:top="233"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0000EE"/>
            </w:tcBorders>
            <w:gridSpan w:val="1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7840" w:type="dxa"/>
            <w:vAlign w:val="bottom"/>
            <w:gridSpan w:val="17"/>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6420" w:type="dxa"/>
            <w:vAlign w:val="bottom"/>
            <w:tcBorders>
              <w:bottom w:val="single" w:sz="8" w:color="0000EE"/>
            </w:tcBorders>
            <w:gridSpan w:val="27"/>
          </w:tcPr>
          <w:p>
            <w:pPr>
              <w:spacing w:after="0" w:line="196" w:lineRule="exact"/>
              <w:rPr>
                <w:rFonts w:ascii="Arial" w:cs="Arial" w:eastAsia="Arial" w:hAnsi="Arial"/>
                <w:sz w:val="18"/>
                <w:szCs w:val="18"/>
                <w:color w:val="0000EE"/>
                <w:w w:val="96"/>
              </w:rPr>
            </w:pPr>
            <w:hyperlink w:anchor="page2">
              <w:r>
                <w:rPr>
                  <w:rFonts w:ascii="Arial" w:cs="Arial" w:eastAsia="Arial" w:hAnsi="Arial"/>
                  <w:sz w:val="18"/>
                  <w:szCs w:val="18"/>
                  <w:color w:val="0000EE"/>
                  <w:w w:val="96"/>
                </w:rPr>
                <w:t>Item 1. UNAUDITED CONDENSED CONSOLIDATED FINANCIAL STATEMENTS:</w:t>
              </w:r>
            </w:hyperlink>
          </w:p>
        </w:tc>
        <w:tc>
          <w:tcPr>
            <w:tcW w:w="450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10920" w:type="dxa"/>
            <w:vAlign w:val="bottom"/>
            <w:gridSpan w:val="36"/>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As of September 30, 2014 and December 31, 2013</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0" w:type="dxa"/>
            <w:vAlign w:val="bottom"/>
            <w:tcBorders>
              <w:bottom w:val="single" w:sz="8" w:color="0000EE"/>
            </w:tcBorders>
            <w:gridSpan w:val="31"/>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Operations: For the three and nine months ended September 30, 2014 and 2013</w:t>
              </w:r>
            </w:hyperlink>
          </w:p>
        </w:tc>
        <w:tc>
          <w:tcPr>
            <w:tcW w:w="232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9520" w:type="dxa"/>
            <w:vAlign w:val="bottom"/>
            <w:tcBorders>
              <w:bottom w:val="single" w:sz="8" w:color="0000EE"/>
            </w:tcBorders>
            <w:gridSpan w:val="33"/>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Comprehensive Income: For the three and nine months ended September 30, 2014 and 2013</w:t>
              </w:r>
            </w:hyperlink>
          </w:p>
        </w:tc>
        <w:tc>
          <w:tcPr>
            <w:tcW w:w="140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920" w:type="dxa"/>
            <w:vAlign w:val="bottom"/>
            <w:gridSpan w:val="36"/>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Changes in Accumulated Other Comprehensive Income / (Loss): For the nine months ended September 30,</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8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2014 and 2013</w:t>
              </w:r>
            </w:hyperlink>
          </w:p>
        </w:tc>
        <w:tc>
          <w:tcPr>
            <w:tcW w:w="9340" w:type="dxa"/>
            <w:vAlign w:val="bottom"/>
            <w:tcBorders>
              <w:top w:val="single" w:sz="8" w:color="0000EE"/>
            </w:tcBorders>
            <w:gridSpan w:val="29"/>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94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Cash Flows: For the nine months ended September 30, 2014 and 2013</w:t>
              </w:r>
            </w:hyperlink>
          </w:p>
        </w:tc>
        <w:tc>
          <w:tcPr>
            <w:tcW w:w="298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0920" w:type="dxa"/>
            <w:vAlign w:val="bottom"/>
            <w:gridSpan w:val="36"/>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Changes in Partners’ Capital / Members’ Equity: For the nine months ended September 30, 2014 and 2013</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32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the Condensed Consolidated Financial Statements:</w:t>
              </w:r>
            </w:hyperlink>
          </w:p>
        </w:tc>
        <w:tc>
          <w:tcPr>
            <w:tcW w:w="6240" w:type="dxa"/>
            <w:vAlign w:val="bottom"/>
            <w:tcBorders>
              <w:top w:val="single" w:sz="8" w:color="0000EE"/>
            </w:tcBorders>
            <w:gridSpan w:val="10"/>
          </w:tcPr>
          <w:p>
            <w:pPr>
              <w:spacing w:after="0"/>
              <w:rPr>
                <w:sz w:val="17"/>
                <w:szCs w:val="17"/>
                <w:color w:val="auto"/>
              </w:rPr>
            </w:pPr>
          </w:p>
        </w:tc>
        <w:tc>
          <w:tcPr>
            <w:tcW w:w="36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10540" w:type="dxa"/>
            <w:vAlign w:val="bottom"/>
            <w:gridSpan w:val="34"/>
          </w:tcPr>
          <w:p>
            <w:pPr>
              <w:ind w:left="8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Organization and Basis of Consolidation and Presentation</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80" w:type="dxa"/>
            <w:vAlign w:val="bottom"/>
          </w:tcPr>
          <w:p>
            <w:pPr>
              <w:spacing w:after="0"/>
              <w:rPr>
                <w:sz w:val="17"/>
                <w:szCs w:val="17"/>
                <w:color w:val="auto"/>
              </w:rPr>
            </w:pPr>
          </w:p>
        </w:tc>
        <w:tc>
          <w:tcPr>
            <w:tcW w:w="200" w:type="dxa"/>
            <w:vAlign w:val="bottom"/>
            <w:tcBorders>
              <w:top w:val="single" w:sz="8" w:color="0000EE"/>
            </w:tcBorders>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w:t>
              </w:r>
            </w:hyperlink>
          </w:p>
        </w:tc>
        <w:tc>
          <w:tcPr>
            <w:tcW w:w="4240" w:type="dxa"/>
            <w:vAlign w:val="bottom"/>
            <w:tcBorders>
              <w:top w:val="single" w:sz="8" w:color="0000EE"/>
            </w:tcBorders>
            <w:gridSpan w:val="23"/>
          </w:tcPr>
          <w:p>
            <w:pPr>
              <w:ind w:left="8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Recent Accounting Pronouncements</w:t>
              </w:r>
            </w:hyperlink>
          </w:p>
        </w:tc>
        <w:tc>
          <w:tcPr>
            <w:tcW w:w="6300" w:type="dxa"/>
            <w:vAlign w:val="bottom"/>
            <w:gridSpan w:val="1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1600" w:type="dxa"/>
            <w:vAlign w:val="bottom"/>
            <w:tcBorders>
              <w:top w:val="single" w:sz="8" w:color="0000EE"/>
              <w:bottom w:val="single" w:sz="8" w:color="0000EE"/>
            </w:tcBorders>
            <w:gridSpan w:val="9"/>
          </w:tcPr>
          <w:p>
            <w:pPr>
              <w:ind w:left="60"/>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Accounts Receivable</w:t>
              </w:r>
            </w:hyperlink>
          </w:p>
        </w:tc>
        <w:tc>
          <w:tcPr>
            <w:tcW w:w="1100" w:type="dxa"/>
            <w:vAlign w:val="bottom"/>
            <w:tcBorders>
              <w:top w:val="single" w:sz="8" w:color="0000EE"/>
            </w:tcBorders>
            <w:gridSpan w:val="8"/>
          </w:tcPr>
          <w:p>
            <w:pPr>
              <w:spacing w:after="0"/>
              <w:rPr>
                <w:sz w:val="17"/>
                <w:szCs w:val="17"/>
                <w:color w:val="auto"/>
              </w:rPr>
            </w:pPr>
          </w:p>
        </w:tc>
        <w:tc>
          <w:tcPr>
            <w:tcW w:w="7840" w:type="dxa"/>
            <w:vAlign w:val="bottom"/>
            <w:gridSpan w:val="1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80" w:type="dxa"/>
            <w:vAlign w:val="bottom"/>
          </w:tcPr>
          <w:p>
            <w:pPr>
              <w:spacing w:after="0"/>
              <w:rPr>
                <w:sz w:val="17"/>
                <w:szCs w:val="17"/>
                <w:color w:val="auto"/>
              </w:rPr>
            </w:pPr>
          </w:p>
        </w:tc>
        <w:tc>
          <w:tcPr>
            <w:tcW w:w="200" w:type="dxa"/>
            <w:vAlign w:val="bottom"/>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4.</w:t>
              </w:r>
            </w:hyperlink>
          </w:p>
        </w:tc>
        <w:tc>
          <w:tcPr>
            <w:tcW w:w="10540" w:type="dxa"/>
            <w:vAlign w:val="bottom"/>
            <w:gridSpan w:val="34"/>
          </w:tcPr>
          <w:p>
            <w:pPr>
              <w:ind w:left="8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Inventory, Linefill and Base Gas and Long-term Inventory</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80" w:type="dxa"/>
            <w:vAlign w:val="bottom"/>
          </w:tcPr>
          <w:p>
            <w:pPr>
              <w:spacing w:after="0"/>
              <w:rPr>
                <w:sz w:val="17"/>
                <w:szCs w:val="17"/>
                <w:color w:val="auto"/>
              </w:rPr>
            </w:pPr>
          </w:p>
        </w:tc>
        <w:tc>
          <w:tcPr>
            <w:tcW w:w="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760" w:type="dxa"/>
            <w:vAlign w:val="bottom"/>
            <w:tcBorders>
              <w:top w:val="single" w:sz="8" w:color="0000EE"/>
              <w:bottom w:val="single" w:sz="8" w:color="0000EE"/>
            </w:tcBorders>
            <w:gridSpan w:val="3"/>
          </w:tcPr>
          <w:p>
            <w:pPr>
              <w:ind w:left="80"/>
              <w:spacing w:after="0" w:line="19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Goodwill</w:t>
              </w:r>
            </w:hyperlink>
          </w:p>
        </w:tc>
        <w:tc>
          <w:tcPr>
            <w:tcW w:w="3520" w:type="dxa"/>
            <w:vAlign w:val="bottom"/>
            <w:tcBorders>
              <w:top w:val="single" w:sz="8" w:color="0000EE"/>
            </w:tcBorders>
            <w:gridSpan w:val="21"/>
          </w:tcPr>
          <w:p>
            <w:pPr>
              <w:spacing w:after="0"/>
              <w:rPr>
                <w:sz w:val="17"/>
                <w:szCs w:val="17"/>
                <w:color w:val="auto"/>
              </w:rPr>
            </w:pPr>
          </w:p>
        </w:tc>
        <w:tc>
          <w:tcPr>
            <w:tcW w:w="6260" w:type="dxa"/>
            <w:vAlign w:val="bottom"/>
            <w:gridSpan w:val="1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80" w:type="dxa"/>
            <w:vAlign w:val="bottom"/>
          </w:tcPr>
          <w:p>
            <w:pPr>
              <w:spacing w:after="0"/>
              <w:rPr>
                <w:sz w:val="17"/>
                <w:szCs w:val="17"/>
                <w:color w:val="auto"/>
              </w:rPr>
            </w:pPr>
          </w:p>
        </w:tc>
        <w:tc>
          <w:tcPr>
            <w:tcW w:w="200" w:type="dxa"/>
            <w:vAlign w:val="bottom"/>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6.</w:t>
              </w:r>
            </w:hyperlink>
          </w:p>
        </w:tc>
        <w:tc>
          <w:tcPr>
            <w:tcW w:w="10540" w:type="dxa"/>
            <w:vAlign w:val="bottom"/>
            <w:gridSpan w:val="34"/>
          </w:tcPr>
          <w:p>
            <w:pPr>
              <w:ind w:left="8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Debt</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c>
          <w:tcPr>
            <w:tcW w:w="10540" w:type="dxa"/>
            <w:vAlign w:val="bottom"/>
            <w:gridSpan w:val="34"/>
          </w:tcPr>
          <w:p>
            <w:pPr>
              <w:ind w:left="80"/>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Net Income Per Class A Share</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8.</w:t>
              </w:r>
            </w:hyperlink>
          </w:p>
        </w:tc>
        <w:tc>
          <w:tcPr>
            <w:tcW w:w="10540" w:type="dxa"/>
            <w:vAlign w:val="bottom"/>
            <w:gridSpan w:val="34"/>
          </w:tcPr>
          <w:p>
            <w:pPr>
              <w:ind w:left="80"/>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Partners’ Capital and Distributions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Borders>
              <w:bottom w:val="single" w:sz="8" w:color="0000EE"/>
            </w:tcBorders>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c>
          <w:tcPr>
            <w:tcW w:w="2720" w:type="dxa"/>
            <w:vAlign w:val="bottom"/>
            <w:tcBorders>
              <w:bottom w:val="single" w:sz="8" w:color="0000EE"/>
            </w:tcBorders>
            <w:gridSpan w:val="18"/>
          </w:tcPr>
          <w:p>
            <w:pPr>
              <w:ind w:left="80"/>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Equity-Indexed Compensation Plans</w:t>
              </w:r>
            </w:hyperlink>
          </w:p>
        </w:tc>
        <w:tc>
          <w:tcPr>
            <w:tcW w:w="7820" w:type="dxa"/>
            <w:vAlign w:val="bottom"/>
            <w:gridSpan w:val="1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80" w:type="dxa"/>
            <w:vAlign w:val="bottom"/>
          </w:tcPr>
          <w:p>
            <w:pPr>
              <w:spacing w:after="0"/>
              <w:rPr>
                <w:sz w:val="17"/>
                <w:szCs w:val="17"/>
                <w:color w:val="auto"/>
              </w:rPr>
            </w:pPr>
          </w:p>
        </w:tc>
        <w:tc>
          <w:tcPr>
            <w:tcW w:w="35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10. Derivatives and Risk Management Activities</w:t>
              </w:r>
            </w:hyperlink>
          </w:p>
        </w:tc>
        <w:tc>
          <w:tcPr>
            <w:tcW w:w="7220" w:type="dxa"/>
            <w:vAlign w:val="bottom"/>
            <w:gridSpan w:val="1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80" w:type="dxa"/>
            <w:vAlign w:val="bottom"/>
          </w:tcPr>
          <w:p>
            <w:pPr>
              <w:spacing w:after="0"/>
              <w:rPr>
                <w:sz w:val="17"/>
                <w:szCs w:val="17"/>
                <w:color w:val="auto"/>
              </w:rPr>
            </w:pPr>
          </w:p>
        </w:tc>
        <w:tc>
          <w:tcPr>
            <w:tcW w:w="26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11. Commitments and Contingencies</w:t>
              </w:r>
            </w:hyperlink>
          </w:p>
        </w:tc>
        <w:tc>
          <w:tcPr>
            <w:tcW w:w="8060" w:type="dxa"/>
            <w:vAlign w:val="bottom"/>
            <w:gridSpan w:val="2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80" w:type="dxa"/>
            <w:vAlign w:val="bottom"/>
          </w:tcPr>
          <w:p>
            <w:pPr>
              <w:spacing w:after="0"/>
              <w:rPr>
                <w:sz w:val="17"/>
                <w:szCs w:val="17"/>
                <w:color w:val="auto"/>
              </w:rPr>
            </w:pPr>
          </w:p>
        </w:tc>
        <w:tc>
          <w:tcPr>
            <w:tcW w:w="10740" w:type="dxa"/>
            <w:vAlign w:val="bottom"/>
            <w:gridSpan w:val="3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12. Operating Segments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8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2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13. Related Party Transactions</w:t>
              </w:r>
            </w:hyperlink>
          </w:p>
        </w:tc>
        <w:tc>
          <w:tcPr>
            <w:tcW w:w="8520" w:type="dxa"/>
            <w:vAlign w:val="bottom"/>
            <w:gridSpan w:val="2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80" w:type="dxa"/>
            <w:vAlign w:val="bottom"/>
          </w:tcPr>
          <w:p>
            <w:pPr>
              <w:spacing w:after="0"/>
              <w:rPr>
                <w:sz w:val="17"/>
                <w:szCs w:val="17"/>
                <w:color w:val="auto"/>
              </w:rPr>
            </w:pPr>
          </w:p>
        </w:tc>
        <w:tc>
          <w:tcPr>
            <w:tcW w:w="10740" w:type="dxa"/>
            <w:vAlign w:val="bottom"/>
            <w:gridSpan w:val="35"/>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14. Subsequent Events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18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2"/>
        </w:trPr>
        <w:tc>
          <w:tcPr>
            <w:tcW w:w="9480" w:type="dxa"/>
            <w:vAlign w:val="bottom"/>
            <w:tcBorders>
              <w:bottom w:val="single" w:sz="8" w:color="0000EE"/>
            </w:tcBorders>
            <w:gridSpan w:val="32"/>
          </w:tcPr>
          <w:p>
            <w:pPr>
              <w:spacing w:after="0"/>
              <w:rPr>
                <w:rFonts w:ascii="Arial" w:cs="Arial" w:eastAsia="Arial" w:hAnsi="Arial"/>
                <w:sz w:val="18"/>
                <w:szCs w:val="18"/>
                <w:color w:val="0000EE"/>
                <w:w w:val="96"/>
              </w:rPr>
            </w:pPr>
            <w:hyperlink w:anchor="page20">
              <w:r>
                <w:rPr>
                  <w:rFonts w:ascii="Arial" w:cs="Arial" w:eastAsia="Arial" w:hAnsi="Arial"/>
                  <w:sz w:val="18"/>
                  <w:szCs w:val="18"/>
                  <w:color w:val="0000EE"/>
                  <w:w w:val="96"/>
                </w:rPr>
                <w:t>Item 2. MANAGEMENT’S DISCUSSION AND ANALYSIS OF FINANCIAL CONDITION AND RESULTS OF OPERATIONS</w:t>
              </w:r>
            </w:hyperlink>
          </w:p>
        </w:tc>
        <w:tc>
          <w:tcPr>
            <w:tcW w:w="144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196"/>
        </w:trPr>
        <w:tc>
          <w:tcPr>
            <w:tcW w:w="10920" w:type="dxa"/>
            <w:vAlign w:val="bottom"/>
            <w:gridSpan w:val="3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3. QUANTITATIVE AND QUALITATIVE DISCLOSURES ABOUT MARKET RISK</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67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4. CONTROLS AND PROCEDURES</w:t>
              </w:r>
            </w:hyperlink>
          </w:p>
        </w:tc>
        <w:tc>
          <w:tcPr>
            <w:tcW w:w="422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412"/>
        </w:trPr>
        <w:tc>
          <w:tcPr>
            <w:tcW w:w="2780" w:type="dxa"/>
            <w:vAlign w:val="bottom"/>
            <w:tcBorders>
              <w:top w:val="single" w:sz="8" w:color="0000EE"/>
              <w:bottom w:val="single" w:sz="8" w:color="0000EE"/>
            </w:tcBorders>
            <w:gridSpan w:val="15"/>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380" w:type="dxa"/>
            <w:vAlign w:val="bottom"/>
            <w:tcBorders>
              <w:top w:val="single" w:sz="8" w:color="0000EE"/>
            </w:tcBorders>
            <w:gridSpan w:val="6"/>
          </w:tcPr>
          <w:p>
            <w:pPr>
              <w:spacing w:after="0"/>
              <w:rPr>
                <w:sz w:val="24"/>
                <w:szCs w:val="24"/>
                <w:color w:val="auto"/>
              </w:rPr>
            </w:pPr>
          </w:p>
        </w:tc>
        <w:tc>
          <w:tcPr>
            <w:tcW w:w="7760" w:type="dxa"/>
            <w:vAlign w:val="bottom"/>
            <w:gridSpan w:val="15"/>
          </w:tcPr>
          <w:p>
            <w:pPr>
              <w:spacing w:after="0"/>
              <w:rPr>
                <w:sz w:val="24"/>
                <w:szCs w:val="24"/>
                <w:color w:val="auto"/>
              </w:rPr>
            </w:pPr>
          </w:p>
        </w:tc>
        <w:tc>
          <w:tcPr>
            <w:tcW w:w="540" w:type="dxa"/>
            <w:vAlign w:val="bottom"/>
          </w:tcPr>
          <w:p>
            <w:pPr>
              <w:spacing w:after="0"/>
              <w:rPr>
                <w:sz w:val="24"/>
                <w:szCs w:val="24"/>
                <w:color w:val="auto"/>
              </w:rPr>
            </w:pPr>
          </w:p>
        </w:tc>
      </w:tr>
      <w:tr>
        <w:trPr>
          <w:trHeight w:val="196"/>
        </w:trPr>
        <w:tc>
          <w:tcPr>
            <w:tcW w:w="244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Item 1. LEGAL PROCEEDINGS</w:t>
              </w:r>
            </w:hyperlink>
          </w:p>
        </w:tc>
        <w:tc>
          <w:tcPr>
            <w:tcW w:w="8480" w:type="dxa"/>
            <w:vAlign w:val="bottom"/>
            <w:gridSpan w:val="2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0920" w:type="dxa"/>
            <w:vAlign w:val="bottom"/>
            <w:gridSpan w:val="3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1A. RISK FACTORS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110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6680" w:type="dxa"/>
            <w:vAlign w:val="bottom"/>
            <w:tcBorders>
              <w:bottom w:val="single" w:sz="8" w:color="0000EE"/>
            </w:tcBorders>
            <w:gridSpan w:val="28"/>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Item 2. UNREGISTERED SALES OF EQUITY SECURITIES AND USE OF PROCEEDS</w:t>
              </w:r>
            </w:hyperlink>
          </w:p>
        </w:tc>
        <w:tc>
          <w:tcPr>
            <w:tcW w:w="4240" w:type="dxa"/>
            <w:vAlign w:val="bottom"/>
            <w:gridSpan w:val="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0920" w:type="dxa"/>
            <w:vAlign w:val="bottom"/>
            <w:gridSpan w:val="3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3. DEFAULTS UPON SENIOR SECURITIES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37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4. MINE SAFETY DISCLOSURES</w:t>
              </w:r>
            </w:hyperlink>
          </w:p>
        </w:tc>
        <w:tc>
          <w:tcPr>
            <w:tcW w:w="7180" w:type="dxa"/>
            <w:vAlign w:val="bottom"/>
            <w:gridSpan w:val="1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30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5. OTHER INFORMATION</w:t>
              </w:r>
            </w:hyperlink>
          </w:p>
        </w:tc>
        <w:tc>
          <w:tcPr>
            <w:tcW w:w="7920" w:type="dxa"/>
            <w:vAlign w:val="bottom"/>
            <w:gridSpan w:val="1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24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6. EXHIBITS</w:t>
              </w:r>
            </w:hyperlink>
          </w:p>
        </w:tc>
        <w:tc>
          <w:tcPr>
            <w:tcW w:w="8480" w:type="dxa"/>
            <w:vAlign w:val="bottom"/>
            <w:gridSpan w:val="2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3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9540" w:type="dxa"/>
            <w:vAlign w:val="bottom"/>
            <w:gridSpan w:val="2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453"/>
        </w:trPr>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gridSpan w:val="2"/>
          </w:tcPr>
          <w:p>
            <w:pPr>
              <w:spacing w:after="0"/>
              <w:rPr>
                <w:sz w:val="24"/>
                <w:szCs w:val="24"/>
                <w:color w:val="auto"/>
              </w:rPr>
            </w:pPr>
          </w:p>
        </w:tc>
        <w:tc>
          <w:tcPr>
            <w:tcW w:w="5320" w:type="dxa"/>
            <w:vAlign w:val="bottom"/>
            <w:gridSpan w:val="23"/>
          </w:tcPr>
          <w:p>
            <w:pPr>
              <w:jc w:val="right"/>
              <w:ind w:right="6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32"/>
        </w:trPr>
        <w:tc>
          <w:tcPr>
            <w:tcW w:w="1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7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20" w:type="dxa"/>
            <w:vAlign w:val="bottom"/>
          </w:tcPr>
          <w:p>
            <w:pPr>
              <w:jc w:val="center"/>
              <w:ind w:left="239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220" w:type="dxa"/>
            <w:vAlign w:val="bottom"/>
          </w:tcPr>
          <w:p>
            <w:pPr>
              <w:ind w:left="140"/>
              <w:spacing w:after="0"/>
              <w:rPr>
                <w:sz w:val="20"/>
                <w:szCs w:val="20"/>
                <w:color w:val="auto"/>
              </w:rPr>
            </w:pPr>
            <w:r>
              <w:rPr>
                <w:rFonts w:ascii="Arial" w:cs="Arial" w:eastAsia="Arial" w:hAnsi="Arial"/>
                <w:sz w:val="18"/>
                <w:szCs w:val="18"/>
                <w:b w:val="1"/>
                <w:bCs w:val="1"/>
                <w:color w:val="auto"/>
              </w:rPr>
              <w:t>UNAUDITED CONDENSED CONSOLIDATED FINANCIAL STATEMENTS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20" w:type="dxa"/>
            <w:vAlign w:val="bottom"/>
          </w:tcPr>
          <w:p>
            <w:pPr>
              <w:jc w:val="center"/>
              <w:ind w:left="2410"/>
              <w:spacing w:after="0"/>
              <w:rPr>
                <w:sz w:val="20"/>
                <w:szCs w:val="20"/>
                <w:color w:val="auto"/>
              </w:rPr>
            </w:pPr>
            <w:r>
              <w:rPr>
                <w:rFonts w:ascii="Arial" w:cs="Arial" w:eastAsia="Arial" w:hAnsi="Arial"/>
                <w:sz w:val="18"/>
                <w:szCs w:val="18"/>
                <w:b w:val="1"/>
                <w:bCs w:val="1"/>
                <w:color w:val="auto"/>
                <w:w w:val="98"/>
              </w:rPr>
              <w:t>PLAINS GP HOLDINGS, L.P. AND SUBSIDIARIES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20" w:type="dxa"/>
            <w:vAlign w:val="bottom"/>
          </w:tcPr>
          <w:p>
            <w:pPr>
              <w:jc w:val="center"/>
              <w:ind w:left="23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20" w:type="dxa"/>
            <w:vAlign w:val="bottom"/>
          </w:tcPr>
          <w:p>
            <w:pPr>
              <w:jc w:val="center"/>
              <w:ind w:left="2390"/>
              <w:spacing w:after="0"/>
              <w:rPr>
                <w:sz w:val="20"/>
                <w:szCs w:val="20"/>
                <w:color w:val="auto"/>
              </w:rPr>
            </w:pPr>
            <w:r>
              <w:rPr>
                <w:rFonts w:ascii="Arial" w:cs="Arial" w:eastAsia="Arial" w:hAnsi="Arial"/>
                <w:sz w:val="18"/>
                <w:szCs w:val="18"/>
                <w:b w:val="1"/>
                <w:bCs w:val="1"/>
                <w:color w:val="auto"/>
                <w:w w:val="88"/>
              </w:rPr>
              <w:t>(in millions, except share data)</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September 30,</w:t>
            </w:r>
          </w:p>
        </w:tc>
        <w:tc>
          <w:tcPr>
            <w:tcW w:w="24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3,522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Inventory</w:t>
            </w:r>
          </w:p>
        </w:tc>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1,314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13,857</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11,986</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903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Investments in unconsolidated entities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582</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7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22,926</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08"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5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Short-term debt</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976</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current liabilities</w:t>
            </w:r>
          </w:p>
        </w:tc>
        <w:tc>
          <w:tcPr>
            <w:tcW w:w="10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5,569</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 of $16 and $15, respectively</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7,609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Long-term debt under credit facilities and other</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535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long-term liabilities</w:t>
            </w:r>
          </w:p>
        </w:tc>
        <w:tc>
          <w:tcPr>
            <w:tcW w:w="10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8,670</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PARTNERS’ CAPITAL</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Class A Shareholders (136,046,637 and 133,833,637 shares outstanding, respectively)</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Class B Shareholders (469,983,136 and 472,196,136 shares outstanding, respectively)</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7,650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partners’ capital</w:t>
            </w:r>
          </w:p>
        </w:tc>
        <w:tc>
          <w:tcPr>
            <w:tcW w:w="10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8,687</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10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22,926</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center"/>
              <w:ind w:left="453"/>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3"/>
          </w:tcPr>
          <w:p>
            <w:pPr>
              <w:jc w:val="center"/>
              <w:ind w:left="453"/>
              <w:spacing w:after="0" w:line="142" w:lineRule="exact"/>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Supply and Logistics segment revenues</w:t>
            </w:r>
          </w:p>
        </w:tc>
        <w:tc>
          <w:tcPr>
            <w:tcW w:w="102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10,788</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10,386</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32,988</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revenues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Facilities segment revenues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141</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443</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11,127</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34,005</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10,166</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9,909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31,116</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382</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260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10,724</w:t>
            </w: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32,748</w:t>
            </w: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403</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1,257</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w w:val="93"/>
              </w:rPr>
              <w:t>Interest expense (net of capitalized interest of $12, $11, $33 and</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$30, respectively)</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5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5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(295)</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(913)</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NET INCOME PER CLASS A</w:t>
            </w:r>
          </w:p>
        </w:tc>
        <w:tc>
          <w:tcPr>
            <w:tcW w:w="1020" w:type="dxa"/>
            <w:vAlign w:val="bottom"/>
            <w:gridSpan w:val="2"/>
            <w:vMerge w:val="restart"/>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0.12</w:t>
            </w: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0.33</w:t>
            </w: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1020" w:type="dxa"/>
            <w:vAlign w:val="bottom"/>
            <w:gridSpan w:val="2"/>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WEIGHTED AVERAGE CLASS A</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136</w:t>
            </w: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SHARES OUTSTANDING</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0" w:gutter="0" w:footer="0" w:header="0"/>
          <w:type w:val="continuous"/>
        </w:sectPr>
      </w:pPr>
    </w:p>
    <w:bookmarkStart w:id="3" w:name="page4"/>
    <w:bookmarkEnd w:id="3"/>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r>
      <w:tr>
        <w:trPr>
          <w:trHeight w:val="142"/>
        </w:trPr>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3"/>
          </w:tcPr>
          <w:p>
            <w:pPr>
              <w:jc w:val="center"/>
              <w:ind w:left="458"/>
              <w:spacing w:after="0" w:line="142" w:lineRule="exact"/>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3"/>
          </w:tcPr>
          <w:p>
            <w:pPr>
              <w:jc w:val="center"/>
              <w:ind w:left="458"/>
              <w:spacing w:after="0" w:line="142" w:lineRule="exact"/>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958</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(167)</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w w:val="94"/>
              </w:rPr>
              <w:t>Comprehensive income attributable to noncontrolling interests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(703)</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(969)</w:t>
            </w:r>
          </w:p>
        </w:tc>
      </w:tr>
      <w:tr>
        <w:trPr>
          <w:trHeight w:val="210"/>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PAGP</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ACCUMULATED OTHER COMPREHENSIVE INCOME /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Translation</w:t>
            </w:r>
          </w:p>
        </w:tc>
        <w:tc>
          <w:tcPr>
            <w:tcW w:w="300" w:type="dxa"/>
            <w:vAlign w:val="bottom"/>
          </w:tcPr>
          <w:p>
            <w:pPr>
              <w:spacing w:after="0"/>
              <w:rPr>
                <w:sz w:val="14"/>
                <w:szCs w:val="1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loss on cash flow hedges, net of tax</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period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2014</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Translation</w:t>
            </w:r>
          </w:p>
        </w:tc>
        <w:tc>
          <w:tcPr>
            <w:tcW w:w="300" w:type="dxa"/>
            <w:vAlign w:val="bottom"/>
          </w:tcPr>
          <w:p>
            <w:pPr>
              <w:spacing w:after="0"/>
              <w:rPr>
                <w:sz w:val="24"/>
                <w:szCs w:val="2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gain on cash flow hedges, net of tax</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period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2013</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Nine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income</w:t>
            </w:r>
          </w:p>
        </w:tc>
        <w:tc>
          <w:tcPr>
            <w:tcW w:w="240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958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294</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Equity-indexed compensation expense</w:t>
            </w: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Inventory valuation adjustments</w:t>
            </w: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 expense</w:t>
            </w: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Gain on sales of linefill and base gas</w:t>
            </w: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(Gain)/loss on foreign currency revaluation</w:t>
            </w: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Settlement of terminated interest rate hedging instruments</w:t>
            </w: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earnings in unconsolidated entities, net of distributions</w:t>
            </w: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Cash paid in connection with acquisitions, net of cash acquired</w:t>
            </w:r>
          </w:p>
        </w:tc>
        <w:tc>
          <w:tcPr>
            <w:tcW w:w="1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ectPr>
          <w:pgSz w:w="11900" w:h="16900" w:orient="portrait"/>
          <w:cols w:equalWidth="0" w:num="1">
            <w:col w:w="11420"/>
          </w:cols>
          <w:pgMar w:left="240" w:top="517"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Additions to property, equipment and other</w:t>
            </w: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(1,424)</w:t>
            </w:r>
          </w:p>
        </w:tc>
        <w:tc>
          <w:tcPr>
            <w:tcW w:w="4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sales of linefill and base gas</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Cash paid for purchases of linefill and base gas</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entities</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Proceeds from sales of assets</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under PAA senior secured hedged inventory facility (Note 6)</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repayments under PAA senior unsecured revolving credit facility (Note 6)</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under PNG credit agreement</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borrowings under AAP revolving credit facility (Note 6)</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AAP term loan</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borrowings/(repayments) under PAA commercial paper program (Note 6)</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(683)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PAA senior notes (Note 6)</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proceeds from the issuance of common units by subsidiaries (Note 8)</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655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w w:val="99"/>
              </w:rPr>
              <w:t>Contributions from noncontrolling interests related to issuances of common units by subsidiaries</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Distributions paid to noncontrolling interests (Note 8)</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(959)</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Class A shareholders (Note 8)</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Distributions paid to members</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by/(used in) financing activities</w:t>
            </w:r>
          </w:p>
        </w:tc>
        <w:tc>
          <w:tcPr>
            <w:tcW w:w="6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Effect of translation adjustment on cash</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0"/>
        </w:trPr>
        <w:tc>
          <w:tcPr>
            <w:tcW w:w="76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66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Cash paid for:</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net of amounts capitalized</w:t>
            </w:r>
          </w:p>
        </w:tc>
        <w:tc>
          <w:tcPr>
            <w:tcW w:w="11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Income taxes, net of amounts refunded</w:t>
            </w:r>
          </w:p>
        </w:tc>
        <w:tc>
          <w:tcPr>
            <w:tcW w:w="11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PARTNERS’ CAPITAL /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Partners’ Capital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w w:val="93"/>
              </w:rPr>
              <w:t>(Excluding Noncontrolling Interests)</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46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Class A</w:t>
            </w: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Class B</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0"/>
              </w:rPr>
              <w:t>Noncontrolling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160" w:type="dxa"/>
            <w:vAlign w:val="bottom"/>
            <w:gridSpan w:val="2"/>
          </w:tcPr>
          <w:p>
            <w:pPr>
              <w:ind w:left="32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jc w:val="right"/>
              <w:ind w:right="428"/>
              <w:spacing w:after="0" w:line="142" w:lineRule="exact"/>
              <w:rPr>
                <w:sz w:val="20"/>
                <w:szCs w:val="20"/>
                <w:color w:val="auto"/>
              </w:rPr>
            </w:pPr>
            <w:r>
              <w:rPr>
                <w:rFonts w:ascii="Arial" w:cs="Arial" w:eastAsia="Arial" w:hAnsi="Arial"/>
                <w:sz w:val="14"/>
                <w:szCs w:val="14"/>
                <w:b w:val="1"/>
                <w:bCs w:val="1"/>
                <w:color w:val="auto"/>
              </w:rPr>
              <w:t>Amount</w:t>
            </w:r>
          </w:p>
        </w:tc>
        <w:tc>
          <w:tcPr>
            <w:tcW w:w="118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4"/>
          </w:tcPr>
          <w:p>
            <w:pPr>
              <w:jc w:val="right"/>
              <w:ind w:right="173"/>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rPr>
              <w:t>Interests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Borders>
              <w:top w:val="single" w:sz="8" w:color="auto"/>
            </w:tcBorders>
            <w:gridSpan w:val="6"/>
          </w:tcPr>
          <w:p>
            <w:pPr>
              <w:jc w:val="right"/>
              <w:ind w:right="220"/>
              <w:spacing w:after="0" w:line="142" w:lineRule="exact"/>
              <w:rPr>
                <w:sz w:val="20"/>
                <w:szCs w:val="20"/>
                <w:color w:val="auto"/>
              </w:rPr>
            </w:pPr>
            <w:r>
              <w:rPr>
                <w:rFonts w:ascii="Arial" w:cs="Arial" w:eastAsia="Arial" w:hAnsi="Arial"/>
                <w:sz w:val="14"/>
                <w:szCs w:val="14"/>
                <w:b w:val="1"/>
                <w:bCs w:val="1"/>
                <w:color w:val="auto"/>
              </w:rPr>
              <w:t>(unaudited)</w:t>
            </w: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133.8</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1,035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9"/>
              </w:rPr>
              <w:t>—</w:t>
            </w:r>
          </w:p>
        </w:tc>
        <w:tc>
          <w:tcPr>
            <w:tcW w:w="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7,244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45</w:t>
            </w:r>
          </w:p>
        </w:tc>
        <w:tc>
          <w:tcPr>
            <w:tcW w:w="240" w:type="dxa"/>
            <w:vAlign w:val="bottom"/>
            <w:vMerge w:val="continue"/>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center"/>
              <w:ind w:left="153"/>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913</w:t>
            </w:r>
          </w:p>
        </w:tc>
        <w:tc>
          <w:tcPr>
            <w:tcW w:w="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958</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(65)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79"/>
              <w:spacing w:after="0"/>
              <w:rPr>
                <w:sz w:val="20"/>
                <w:szCs w:val="20"/>
                <w:color w:val="auto"/>
              </w:rPr>
            </w:pPr>
            <w:r>
              <w:rPr>
                <w:rFonts w:ascii="Arial" w:cs="Arial" w:eastAsia="Arial" w:hAnsi="Arial"/>
                <w:sz w:val="18"/>
                <w:szCs w:val="18"/>
                <w:color w:val="auto"/>
              </w:rPr>
              <w:t>(959)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Transfer of ownership interest in connection with</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AAP unit exchanges (Note 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3"/>
          </w:tcPr>
          <w:p>
            <w:pPr>
              <w:jc w:val="right"/>
              <w:ind w:right="108"/>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center"/>
              <w:ind w:left="3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23</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Issuance of common units by subsidiaries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center"/>
              <w:ind w:left="3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PAA common units under LTIP, net of</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units tendered by employees to satisfy tax</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withholding obligations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20" w:type="dxa"/>
            <w:vAlign w:val="bottom"/>
            <w:gridSpan w:val="4"/>
            <w:shd w:val="clear" w:color="auto" w:fill="CCEEFF"/>
          </w:tcPr>
          <w:p>
            <w:pPr>
              <w:jc w:val="right"/>
              <w:ind w:right="79"/>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Equity-indexed compensation expense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168"/>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center"/>
              <w:ind w:left="3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Distribution equivalent right payments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79"/>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108"/>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center"/>
              <w:ind w:left="3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gridSpan w:val="4"/>
          </w:tcPr>
          <w:p>
            <w:pPr>
              <w:jc w:val="right"/>
              <w:ind w:right="79"/>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79"/>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Balance at September 30, 2014</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1,037</w:t>
            </w:r>
          </w:p>
        </w:tc>
        <w:tc>
          <w:tcPr>
            <w:tcW w:w="2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center"/>
              <w:ind w:left="153"/>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7,650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Members’ Equity</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(Excluding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Noncontrolling Interests)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Interests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4"/>
              </w:rPr>
              <w:t>Members’ Equity</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w:t>
            </w: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1,067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1,070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Issuance of common units by subsidiaries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2"/>
        </w:trPr>
        <w:tc>
          <w:tcPr>
            <w:tcW w:w="644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rPr>
              <w:t>Contributions from noncontrolling interests related to the issuance of common</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units by subsidiaries</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060" w:type="dxa"/>
            <w:vAlign w:val="bottom"/>
            <w:gridSpan w:val="3"/>
          </w:tcPr>
          <w:p>
            <w:pPr>
              <w:spacing w:after="0"/>
              <w:rPr>
                <w:sz w:val="20"/>
                <w:szCs w:val="20"/>
                <w:color w:val="auto"/>
              </w:rPr>
            </w:pPr>
            <w:r>
              <w:rPr>
                <w:rFonts w:ascii="Arial" w:cs="Arial" w:eastAsia="Arial" w:hAnsi="Arial"/>
                <w:sz w:val="18"/>
                <w:szCs w:val="18"/>
                <w:color w:val="auto"/>
                <w:w w:val="92"/>
              </w:rPr>
              <w:t>Issuance of PAA common units under LTIP, net of units tendered by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180"/>
              <w:spacing w:after="0"/>
              <w:rPr>
                <w:sz w:val="20"/>
                <w:szCs w:val="20"/>
                <w:color w:val="auto"/>
              </w:rPr>
            </w:pPr>
            <w:r>
              <w:rPr>
                <w:rFonts w:ascii="Arial" w:cs="Arial" w:eastAsia="Arial" w:hAnsi="Arial"/>
                <w:sz w:val="18"/>
                <w:szCs w:val="18"/>
                <w:color w:val="auto"/>
              </w:rPr>
              <w:t>employees to satisfy tax withholding obligations</w:t>
            </w: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Equity-indexed compensation expense</w:t>
            </w:r>
          </w:p>
        </w:tc>
        <w:tc>
          <w:tcPr>
            <w:tcW w:w="10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Distribution equivalent right payments</w:t>
            </w:r>
          </w:p>
        </w:tc>
        <w:tc>
          <w:tcPr>
            <w:tcW w:w="1000" w:type="dxa"/>
            <w:vAlign w:val="bottom"/>
          </w:tcPr>
          <w:p>
            <w:pPr>
              <w:spacing w:after="0"/>
              <w:rPr>
                <w:sz w:val="18"/>
                <w:szCs w:val="18"/>
                <w:color w:val="auto"/>
              </w:rPr>
            </w:pPr>
          </w:p>
        </w:tc>
        <w:tc>
          <w:tcPr>
            <w:tcW w:w="1880" w:type="dxa"/>
            <w:vAlign w:val="bottom"/>
            <w:gridSpan w:val="3"/>
          </w:tcPr>
          <w:p>
            <w:pPr>
              <w:jc w:val="right"/>
              <w:ind w:right="7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1880" w:type="dxa"/>
            <w:vAlign w:val="bottom"/>
            <w:gridSpan w:val="3"/>
          </w:tcPr>
          <w:p>
            <w:pPr>
              <w:jc w:val="right"/>
              <w:ind w:right="7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2013</w:t>
            </w: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line="275" w:lineRule="auto"/>
        <w:rPr>
          <w:sz w:val="20"/>
          <w:szCs w:val="20"/>
          <w:color w:val="auto"/>
        </w:rPr>
      </w:pPr>
      <w:r>
        <w:rPr>
          <w:rFonts w:ascii="Arial" w:cs="Arial" w:eastAsia="Arial" w:hAnsi="Arial"/>
          <w:sz w:val="18"/>
          <w:szCs w:val="18"/>
          <w:b w:val="1"/>
          <w:bCs w:val="1"/>
          <w:color w:val="auto"/>
        </w:rPr>
        <w:t>PLAINS GP HOLDINGS, L.P. AND SUBSIDIARIES NOTES TO THE CONDENSED CONSOLIDATED FINANCIAL STATEMENTS (unaudited)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Plains GP Holdings, L.P. (“PAGP”) is a Delaware limited partnership formed on July 17, 2013 to own an interest in the general partner and incentive distribution rights (“IDRs”) of Plains All American Pipeline, L.P (“PAA”), a publicly traded Delaware limited partnership. PAGP has elected to be treated as a corporation for U.S. federal income tax purposes.</w:t>
      </w:r>
    </w:p>
    <w:p>
      <w:pPr>
        <w:spacing w:after="0" w:line="181"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completed our initial public offering (“IPO”) on October 21, 2013. Immediately prior to our IPO, certain owners of Plains AAP, L.P. (“AAP”) sold a portion of their interests in AAP to us, resulting in our ownership of Class A units of AAP (“AAP units”), which represent limited partnership interests in AAP. As of September 30, 2014, we owned 136,046,637 AAP units (representing an approximate 22.4% limited partner interest in AAP). AAP is a Delaware limited partnership that directly owns all of PAA’s IDRs and indirectly owns the 2% general partner interest in PAA. AAP is the sole member of PAA GP LLC (“PAA GP”), a Delaware limited liability company that directly holds the 2% general partner interest in PAA. Also, through a series of transactions prior to our IPO with Plains GP Holdings LLC (our general partner), a Delaware limited liability company, and the owners of Plains All American GP LLC (“GP LLC”), a Delaware limited liability company formed on May 2, 2001, GP LLC’s general partner interest in AAP became a non-economic interest, and we became the owner of a 100% managing member interest in GP LLC. See “Basis of Consolidation and Presentation” below for the resulting accounting impacts.</w:t>
      </w:r>
    </w:p>
    <w:p>
      <w:pPr>
        <w:spacing w:after="0" w:line="197"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GP LLC manages the business and affairs of PAA and AAP. Except for certain matters relating to PAA that require the approval of the limited partners of PAA, and certain matters relating to AAP that require the approval of the limited partners of AAP or of us as the sole member of GP LLC, either pursuant to the governing documents of PAA, AAP or GP LLC, or as may be required by non-waivable provisions of applicable law, GP LLC has full and complete authority, power and discretion to manage and control the business, affairs and property of PAA and AAP, to make all decisions regarding those matters and to perform any and all other acts or activities customary or incident to the management of PAA and AAP’s business, including the execution of contracts and management of litigation. GP LLC employs all domestic officers and personnel involved in the operation and management of PAA and AAP. PAA’s Canadian officers and personnel are employed by Plains Midstream Canada ULC (“PMC”).</w:t>
      </w:r>
    </w:p>
    <w:p>
      <w:pPr>
        <w:spacing w:after="0" w:line="178"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natural gas liquids (“NGL”), natural gas and refined products. The term NGL includes ethane and natural gasoline products as well as products commonly referred to as liquefied petroleum gas (“LPG”), such as propane and butane. When used in this Form 10-Q, NGL refers to all NGL products including LPG.</w:t>
      </w:r>
    </w:p>
    <w:p>
      <w:pPr>
        <w:ind w:right="260"/>
        <w:spacing w:after="0" w:line="277" w:lineRule="auto"/>
        <w:rPr>
          <w:sz w:val="20"/>
          <w:szCs w:val="20"/>
          <w:color w:val="auto"/>
        </w:rPr>
      </w:pPr>
      <w:r>
        <w:rPr>
          <w:rFonts w:ascii="Arial" w:cs="Arial" w:eastAsia="Arial" w:hAnsi="Arial"/>
          <w:sz w:val="17"/>
          <w:szCs w:val="17"/>
          <w:color w:val="auto"/>
        </w:rPr>
        <w:t>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(i) Transportation, (ii) Facilities and (iii) Supply and Logistics. See Note 12 for further discussion of our operating segments.</w:t>
      </w:r>
    </w:p>
    <w:p>
      <w:pPr>
        <w:spacing w:after="0" w:line="173"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As used in this Form 10-Q and unless the context suggests otherwise (taking into account the fact that PAGP has no operating activities apart from those conducted by PAA and its subsidiaries), the terms “PAGP,” “Partnership,” “Plains,” “we,” “us,” “our,” “ours” and similar terms refer to PAGP and its consolidated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AOCI</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6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Bcf</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60" w:type="dxa"/>
            <w:vAlign w:val="bottom"/>
          </w:tcPr>
          <w:p>
            <w:pPr>
              <w:ind w:left="180"/>
              <w:spacing w:after="0"/>
              <w:rPr>
                <w:sz w:val="20"/>
                <w:szCs w:val="20"/>
                <w:color w:val="auto"/>
              </w:rPr>
            </w:pPr>
            <w:r>
              <w:rPr>
                <w:rFonts w:ascii="Arial" w:cs="Arial" w:eastAsia="Arial" w:hAnsi="Arial"/>
                <w:sz w:val="18"/>
                <w:szCs w:val="18"/>
                <w:color w:val="auto"/>
              </w:rPr>
              <w:t>Billion cubic feet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Btu</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60" w:type="dxa"/>
            <w:vAlign w:val="bottom"/>
          </w:tcPr>
          <w:p>
            <w:pPr>
              <w:ind w:left="180"/>
              <w:spacing w:after="0"/>
              <w:rPr>
                <w:sz w:val="20"/>
                <w:szCs w:val="20"/>
                <w:color w:val="auto"/>
              </w:rPr>
            </w:pPr>
            <w:r>
              <w:rPr>
                <w:rFonts w:ascii="Arial" w:cs="Arial" w:eastAsia="Arial" w:hAnsi="Arial"/>
                <w:sz w:val="18"/>
                <w:szCs w:val="18"/>
                <w:color w:val="auto"/>
              </w:rPr>
              <w:t>British thermal unit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CAD</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60" w:type="dxa"/>
            <w:vAlign w:val="bottom"/>
          </w:tcPr>
          <w:p>
            <w:pPr>
              <w:ind w:left="180"/>
              <w:spacing w:after="0"/>
              <w:rPr>
                <w:sz w:val="20"/>
                <w:szCs w:val="20"/>
                <w:color w:val="auto"/>
              </w:rPr>
            </w:pPr>
            <w:r>
              <w:rPr>
                <w:rFonts w:ascii="Arial" w:cs="Arial" w:eastAsia="Arial" w:hAnsi="Arial"/>
                <w:sz w:val="18"/>
                <w:szCs w:val="18"/>
                <w:color w:val="auto"/>
              </w:rPr>
              <w:t>Canadian dollar</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DERs</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60" w:type="dxa"/>
            <w:vAlign w:val="bottom"/>
          </w:tcPr>
          <w:p>
            <w:pPr>
              <w:ind w:left="180"/>
              <w:spacing w:after="0"/>
              <w:rPr>
                <w:sz w:val="20"/>
                <w:szCs w:val="20"/>
                <w:color w:val="auto"/>
              </w:rPr>
            </w:pPr>
            <w:r>
              <w:rPr>
                <w:rFonts w:ascii="Arial" w:cs="Arial" w:eastAsia="Arial" w:hAnsi="Arial"/>
                <w:sz w:val="18"/>
                <w:szCs w:val="18"/>
                <w:color w:val="auto"/>
              </w:rPr>
              <w:t>Distribution equivalent rights</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EBITDA</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60" w:type="dxa"/>
            <w:vAlign w:val="bottom"/>
          </w:tcPr>
          <w:p>
            <w:pPr>
              <w:ind w:left="180"/>
              <w:spacing w:after="0"/>
              <w:rPr>
                <w:sz w:val="20"/>
                <w:szCs w:val="20"/>
                <w:color w:val="auto"/>
              </w:rPr>
            </w:pPr>
            <w:r>
              <w:rPr>
                <w:rFonts w:ascii="Arial" w:cs="Arial" w:eastAsia="Arial" w:hAnsi="Arial"/>
                <w:sz w:val="18"/>
                <w:szCs w:val="18"/>
                <w:color w:val="auto"/>
              </w:rPr>
              <w:t>Earnings before interest, taxes, depreciation and amortization</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FASB</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60" w:type="dxa"/>
            <w:vAlign w:val="bottom"/>
          </w:tcPr>
          <w:p>
            <w:pPr>
              <w:ind w:left="18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GAAP</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60" w:type="dxa"/>
            <w:vAlign w:val="bottom"/>
          </w:tcPr>
          <w:p>
            <w:pPr>
              <w:ind w:left="18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ICE</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60" w:type="dxa"/>
            <w:vAlign w:val="bottom"/>
          </w:tcPr>
          <w:p>
            <w:pPr>
              <w:ind w:left="180"/>
              <w:spacing w:after="0"/>
              <w:rPr>
                <w:sz w:val="20"/>
                <w:szCs w:val="20"/>
                <w:color w:val="auto"/>
              </w:rPr>
            </w:pPr>
            <w:r>
              <w:rPr>
                <w:rFonts w:ascii="Arial" w:cs="Arial" w:eastAsia="Arial" w:hAnsi="Arial"/>
                <w:sz w:val="18"/>
                <w:szCs w:val="18"/>
                <w:color w:val="auto"/>
              </w:rPr>
              <w:t>IntercontinentalExchange</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LIBOR</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60" w:type="dxa"/>
            <w:vAlign w:val="bottom"/>
          </w:tcPr>
          <w:p>
            <w:pPr>
              <w:ind w:left="180"/>
              <w:spacing w:after="0"/>
              <w:rPr>
                <w:sz w:val="20"/>
                <w:szCs w:val="20"/>
                <w:color w:val="auto"/>
              </w:rPr>
            </w:pPr>
            <w:r>
              <w:rPr>
                <w:rFonts w:ascii="Arial" w:cs="Arial" w:eastAsia="Arial" w:hAnsi="Arial"/>
                <w:sz w:val="18"/>
                <w:szCs w:val="18"/>
                <w:color w:val="auto"/>
              </w:rPr>
              <w:t>London Interbank Offered Rate</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LTIP</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60" w:type="dxa"/>
            <w:vAlign w:val="bottom"/>
          </w:tcPr>
          <w:p>
            <w:pPr>
              <w:ind w:left="180"/>
              <w:spacing w:after="0"/>
              <w:rPr>
                <w:sz w:val="20"/>
                <w:szCs w:val="20"/>
                <w:color w:val="auto"/>
              </w:rPr>
            </w:pPr>
            <w:r>
              <w:rPr>
                <w:rFonts w:ascii="Arial" w:cs="Arial" w:eastAsia="Arial" w:hAnsi="Arial"/>
                <w:sz w:val="18"/>
                <w:szCs w:val="18"/>
                <w:color w:val="auto"/>
              </w:rPr>
              <w:t>Long-term incentive plan</w:t>
            </w:r>
          </w:p>
        </w:tc>
      </w:tr>
      <w:tr>
        <w:trPr>
          <w:trHeight w:val="432"/>
        </w:trPr>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60" w:type="dxa"/>
            <w:vAlign w:val="bottom"/>
          </w:tcPr>
          <w:p>
            <w:pPr>
              <w:ind w:left="3660"/>
              <w:spacing w:after="0"/>
              <w:rPr>
                <w:sz w:val="20"/>
                <w:szCs w:val="20"/>
                <w:color w:val="auto"/>
              </w:rPr>
            </w:pPr>
            <w:r>
              <w:rPr>
                <w:rFonts w:ascii="Arial" w:cs="Arial" w:eastAsia="Arial" w:hAnsi="Arial"/>
                <w:sz w:val="18"/>
                <w:szCs w:val="18"/>
                <w:color w:val="auto"/>
              </w:rPr>
              <w:t>8</w:t>
            </w:r>
          </w:p>
        </w:tc>
      </w:tr>
      <w:tr>
        <w:trPr>
          <w:trHeight w:val="132"/>
        </w:trPr>
        <w:tc>
          <w:tcPr>
            <w:tcW w:w="12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94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334"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25" w:right="19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Mcf</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900" w:type="dxa"/>
            <w:vAlign w:val="bottom"/>
          </w:tcPr>
          <w:p>
            <w:pPr>
              <w:ind w:left="180"/>
              <w:spacing w:after="0"/>
              <w:rPr>
                <w:sz w:val="20"/>
                <w:szCs w:val="20"/>
                <w:color w:val="auto"/>
              </w:rPr>
            </w:pPr>
            <w:r>
              <w:rPr>
                <w:rFonts w:ascii="Arial" w:cs="Arial" w:eastAsia="Arial" w:hAnsi="Arial"/>
                <w:sz w:val="18"/>
                <w:szCs w:val="18"/>
                <w:color w:val="auto"/>
              </w:rPr>
              <w:t>Thousand cubic feet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NYMEX</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900" w:type="dxa"/>
            <w:vAlign w:val="bottom"/>
          </w:tcPr>
          <w:p>
            <w:pPr>
              <w:ind w:left="180"/>
              <w:spacing w:after="0"/>
              <w:rPr>
                <w:sz w:val="20"/>
                <w:szCs w:val="20"/>
                <w:color w:val="auto"/>
              </w:rPr>
            </w:pPr>
            <w:r>
              <w:rPr>
                <w:rFonts w:ascii="Arial" w:cs="Arial" w:eastAsia="Arial" w:hAnsi="Arial"/>
                <w:sz w:val="18"/>
                <w:szCs w:val="18"/>
                <w:color w:val="auto"/>
              </w:rPr>
              <w:t>New York Mercantile Exchange</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PLA</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900" w:type="dxa"/>
            <w:vAlign w:val="bottom"/>
          </w:tcPr>
          <w:p>
            <w:pPr>
              <w:ind w:left="180"/>
              <w:spacing w:after="0"/>
              <w:rPr>
                <w:sz w:val="20"/>
                <w:szCs w:val="20"/>
                <w:color w:val="auto"/>
              </w:rPr>
            </w:pPr>
            <w:r>
              <w:rPr>
                <w:rFonts w:ascii="Arial" w:cs="Arial" w:eastAsia="Arial" w:hAnsi="Arial"/>
                <w:sz w:val="18"/>
                <w:szCs w:val="18"/>
                <w:color w:val="auto"/>
              </w:rPr>
              <w:t>Pipeline loss allowance</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PNG</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900" w:type="dxa"/>
            <w:vAlign w:val="bottom"/>
          </w:tcPr>
          <w:p>
            <w:pPr>
              <w:ind w:left="180"/>
              <w:spacing w:after="0"/>
              <w:rPr>
                <w:sz w:val="20"/>
                <w:szCs w:val="20"/>
                <w:color w:val="auto"/>
              </w:rPr>
            </w:pPr>
            <w:r>
              <w:rPr>
                <w:rFonts w:ascii="Arial" w:cs="Arial" w:eastAsia="Arial" w:hAnsi="Arial"/>
                <w:sz w:val="18"/>
                <w:szCs w:val="18"/>
                <w:color w:val="auto"/>
              </w:rPr>
              <w:t>PAA Natural Gas Storage, L.P.</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900" w:type="dxa"/>
            <w:vAlign w:val="bottom"/>
          </w:tcPr>
          <w:p>
            <w:pPr>
              <w:ind w:left="180"/>
              <w:spacing w:after="0"/>
              <w:rPr>
                <w:sz w:val="20"/>
                <w:szCs w:val="20"/>
                <w:color w:val="auto"/>
              </w:rPr>
            </w:pPr>
            <w:r>
              <w:rPr>
                <w:rFonts w:ascii="Arial" w:cs="Arial" w:eastAsia="Arial" w:hAnsi="Arial"/>
                <w:sz w:val="18"/>
                <w:szCs w:val="18"/>
                <w:color w:val="auto"/>
                <w:w w:val="89"/>
              </w:rPr>
              <w:t>Securities and Exchange Commission</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USD</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900" w:type="dxa"/>
            <w:vAlign w:val="bottom"/>
          </w:tcPr>
          <w:p>
            <w:pPr>
              <w:ind w:left="180"/>
              <w:spacing w:after="0"/>
              <w:rPr>
                <w:sz w:val="20"/>
                <w:szCs w:val="20"/>
                <w:color w:val="auto"/>
              </w:rPr>
            </w:pPr>
            <w:r>
              <w:rPr>
                <w:rFonts w:ascii="Arial" w:cs="Arial" w:eastAsia="Arial" w:hAnsi="Arial"/>
                <w:sz w:val="18"/>
                <w:szCs w:val="18"/>
                <w:color w:val="auto"/>
              </w:rPr>
              <w:t>United States dollar</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White Cliffs</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900" w:type="dxa"/>
            <w:vAlign w:val="bottom"/>
          </w:tcPr>
          <w:p>
            <w:pPr>
              <w:ind w:left="180"/>
              <w:spacing w:after="0"/>
              <w:rPr>
                <w:sz w:val="20"/>
                <w:szCs w:val="20"/>
                <w:color w:val="auto"/>
              </w:rPr>
            </w:pPr>
            <w:r>
              <w:rPr>
                <w:rFonts w:ascii="Arial" w:cs="Arial" w:eastAsia="Arial" w:hAnsi="Arial"/>
                <w:sz w:val="18"/>
                <w:szCs w:val="18"/>
                <w:color w:val="auto"/>
              </w:rPr>
              <w:t>White Cliffs Pipeline, LLC</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WTI</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900" w:type="dxa"/>
            <w:vAlign w:val="bottom"/>
          </w:tcPr>
          <w:p>
            <w:pPr>
              <w:ind w:left="180"/>
              <w:spacing w:after="0"/>
              <w:rPr>
                <w:sz w:val="20"/>
                <w:szCs w:val="20"/>
                <w:color w:val="auto"/>
              </w:rPr>
            </w:pPr>
            <w:r>
              <w:rPr>
                <w:rFonts w:ascii="Arial" w:cs="Arial" w:eastAsia="Arial" w:hAnsi="Arial"/>
                <w:sz w:val="18"/>
                <w:szCs w:val="18"/>
                <w:color w:val="auto"/>
              </w:rPr>
              <w:t>West Texas Intermediate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accompanying unaudited condensed consolidated interim financial statements and notes thereto should be read in conjunction with our 2013 Annual Report on Form 10-K.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Certain reclassifications have been made to information from previous years to conform to the current presentation. The condensed consolidated balance sheet data as of December 31, 2013 was derived from audited financial statements, but does not include all disclosures required by GAAP. The results of operations for the three and nine months ended September 30, 2014 should not be taken as indicative of results to be expected for the entire year. These financials include PAGP and all of our wholly owned subsidiaries and those entities that we control. Under GAAP, we consolidate PAA, AAP and GP LLC. Amounts associated with the interests in these entities not owned by us are reflected in our results of operations as net income attributable to noncontrolling interests and in our balance sheet partners’ capital section as noncontrolling interests.</w:t>
      </w:r>
    </w:p>
    <w:p>
      <w:pPr>
        <w:spacing w:after="0" w:line="178"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For periods prior to our IPO, the accompanying condensed consolidated financial statements reflect the financial statements of GP LLC, the predecessor of PAGP, and are based on the historical ownership percentages of GP LLC and AAP. These financial statements, to the extent they relate to periods prior to our IPO, have been prepared from the separate financial records maintained by GP LLC and may not necessarily be indicative of the actual results of operations that might have occurred if PAGP had operated separately during those periods.</w:t>
      </w:r>
    </w:p>
    <w:p>
      <w:pPr>
        <w:spacing w:after="0" w:line="17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Other than as discussed below and in our 2013 Annual Report on Form 10-K, no new accounting pronouncements have become effective or have been issued during the nine months ended September 30, 2014 that are of significance or potential significance to us.</w:t>
      </w:r>
    </w:p>
    <w:p>
      <w:pPr>
        <w:spacing w:after="0" w:line="1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May 2014, the FASB issued guidance regarding the recognition of revenue from contracts with customers with the underlying principle that an entity will recognize revenue to reflect amounts expected to be received in exchange for the provision of goods and services to customers upon the transfer of those goods or services. The guidance also requires additional disclosures about the nature, amount, timing and uncertainty of revenue and the related cash flows. This guidance becomes effective for interim and annual periods beginning after December 15, 2016 and can be adopted either with a full retrospective approach or a modified retrospective approach with a cumulative-effect adjustment as of the date of adoption. We are currently evaluating which transition approach to apply and the effect that adopting this guidance will have on our financial position, results of operations and cash flows.</w:t>
      </w:r>
    </w:p>
    <w:p>
      <w:pPr>
        <w:spacing w:after="0" w:line="16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April 2014, the FASB issued guidance that modifies the criteria under which assets to be disposed of are evaluated to determine if such assets qualify as a discontinued operation and requires new disclosures for both discontinued operations and certain other disposals that do not meet the definition of a discontinued operation. This guidance is effective prospectively for annual and interim reporting periods beginning after December 15, 2014. Early adoption is permitted but only for disposals (or classifications as held for sale) that have not been reported in financial statements previously issued or available for issue. We are currently evaluating the provisions of this authoritative guidance and assessing its impact, but do not believe our adoption will have a material impact on our financial position, results of operations or cash flows.</w:t>
      </w:r>
    </w:p>
    <w:p>
      <w:pPr>
        <w:spacing w:after="0" w:line="178" w:lineRule="exact"/>
        <w:rPr>
          <w:sz w:val="20"/>
          <w:szCs w:val="20"/>
          <w:color w:val="auto"/>
        </w:rPr>
      </w:pPr>
    </w:p>
    <w:p>
      <w:pPr>
        <w:jc w:val="both"/>
        <w:ind w:right="260" w:firstLine="648"/>
        <w:spacing w:after="0" w:line="279" w:lineRule="auto"/>
        <w:rPr>
          <w:sz w:val="20"/>
          <w:szCs w:val="20"/>
          <w:color w:val="auto"/>
        </w:rPr>
      </w:pPr>
      <w:r>
        <w:rPr>
          <w:rFonts w:ascii="Arial" w:cs="Arial" w:eastAsia="Arial" w:hAnsi="Arial"/>
          <w:sz w:val="17"/>
          <w:szCs w:val="17"/>
          <w:color w:val="auto"/>
        </w:rPr>
        <w:t>In March 2013, the FASB issued guidance regarding the release of cumulative translation adjustments into net income when a parent either sells a part or all of its investment in a foreign entity or no longer holds a controlling financial interest in a subsidiary or group of assets that is a business within a foreign entity. This guidance became effective for interim and annual periods beginning after December 15, 2013. We adopted this guidance on January 1, 2014. Our adoption did not have a material impact on our financial position, results of operations or cash flows.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3—Accounts Receivable</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storage.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spacing w:after="0" w:line="17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To mitigate credit risk related to our accounts receivable, we have in place a rigorous credit review process. We closely monitor market conditions in order to make a determination with respect to the amount, if any, of credit to be extended to any given customer and the form and amount of financial performance assurances we require. Such financial assurances are commonly provided to us in the form of advance cash payments, standby letters of credit or parental guarantees. As of September 30, 2014 and December 31, 2013, we had received $181 million and $117 million, respectively, of advance cash payments from third parties to mitigate credit risk. Furthermore, as of September 30, 2014 and December 31, 2013, we had received $278 million and $426 million, respectively, of standby letters of credit to support obligations due from third parties, a portion of which applies to future business. In addition, in an effort to mitigate credit risk, a significant portion of our transactions with counterparties are settled on a net-cash basis. Further, we enter into netting agreements (contractual agreements that allow us to offset receivables and payables with those counterparties against each other on our balance sheet) for a majority of such arrangements.</w:t>
      </w:r>
    </w:p>
    <w:p>
      <w:pPr>
        <w:sectPr>
          <w:pgSz w:w="11900" w:h="16838" w:orient="portrait"/>
          <w:cols w:equalWidth="0" w:num="1">
            <w:col w:w="11420"/>
          </w:cols>
          <w:pgMar w:left="240" w:top="341" w:right="239" w:bottom="0" w:gutter="0" w:footer="0" w:header="0"/>
        </w:sectPr>
      </w:pPr>
    </w:p>
    <w:bookmarkStart w:id="7" w:name="page8"/>
    <w:bookmarkEnd w:id="7"/>
    <w:p>
      <w:pPr>
        <w:ind w:right="40" w:firstLine="648"/>
        <w:spacing w:after="0" w:line="297" w:lineRule="auto"/>
        <w:rPr>
          <w:sz w:val="20"/>
          <w:szCs w:val="20"/>
          <w:color w:val="auto"/>
        </w:rPr>
      </w:pPr>
      <w:r>
        <w:rPr>
          <w:rFonts w:ascii="Arial" w:cs="Arial" w:eastAsia="Arial" w:hAnsi="Arial"/>
          <w:sz w:val="16"/>
          <w:szCs w:val="16"/>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September 30, 2014 and December 31, 2013, substantially all of our accounts receivable (net of allowance for doubtful accounts) were less than 30 days past their scheduled invoice date. Our allowance for doubtful accounts receivable totaled $4 million and $5 million at September 30, 2014 and December 31, 2013, respectively. Although we consider our allowance for doubtful accounts receivable to be adequate, actual amounts could vary significantly from estimated amounts.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4—Inventory, Linefill and Base Gas and Long-term Inventory</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as of the dates indicated (barrels and natural gas volumes in thousands and carrying value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September 30, 2014</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Volumes</w:t>
            </w:r>
          </w:p>
        </w:tc>
        <w:tc>
          <w:tcPr>
            <w:tcW w:w="900" w:type="dxa"/>
            <w:vAlign w:val="bottom"/>
          </w:tcPr>
          <w:p>
            <w:pPr>
              <w:ind w:left="240"/>
              <w:spacing w:after="0" w:line="119" w:lineRule="exact"/>
              <w:rPr>
                <w:sz w:val="20"/>
                <w:szCs w:val="20"/>
                <w:color w:val="auto"/>
              </w:rPr>
            </w:pPr>
            <w:r>
              <w:rPr>
                <w:rFonts w:ascii="Arial" w:cs="Arial" w:eastAsia="Arial" w:hAnsi="Arial"/>
                <w:sz w:val="13"/>
                <w:szCs w:val="13"/>
                <w:b w:val="1"/>
                <w:bCs w:val="1"/>
                <w:color w:val="auto"/>
              </w:rPr>
              <w:t>Unit of</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right"/>
              <w:ind w:right="194"/>
              <w:spacing w:after="0" w:line="119" w:lineRule="exact"/>
              <w:rPr>
                <w:sz w:val="20"/>
                <w:szCs w:val="20"/>
                <w:color w:val="auto"/>
              </w:rPr>
            </w:pPr>
            <w:r>
              <w:rPr>
                <w:rFonts w:ascii="Arial" w:cs="Arial" w:eastAsia="Arial" w:hAnsi="Arial"/>
                <w:sz w:val="13"/>
                <w:szCs w:val="13"/>
                <w:b w:val="1"/>
                <w:bCs w:val="1"/>
                <w:color w:val="auto"/>
              </w:rPr>
              <w:t>Price/</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Volumes</w:t>
            </w:r>
          </w:p>
        </w:tc>
        <w:tc>
          <w:tcPr>
            <w:tcW w:w="1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Unit of</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0"/>
                <w:szCs w:val="10"/>
                <w:color w:val="auto"/>
              </w:rPr>
            </w:pPr>
          </w:p>
        </w:tc>
        <w:tc>
          <w:tcPr>
            <w:tcW w:w="740" w:type="dxa"/>
            <w:vAlign w:val="bottom"/>
          </w:tcPr>
          <w:p>
            <w:pPr>
              <w:jc w:val="center"/>
              <w:ind w:right="94"/>
              <w:spacing w:after="0" w:line="119" w:lineRule="exact"/>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00" w:type="dxa"/>
            <w:vAlign w:val="bottom"/>
          </w:tcPr>
          <w:p>
            <w:pPr>
              <w:ind w:left="180"/>
              <w:spacing w:after="0"/>
              <w:rPr>
                <w:sz w:val="20"/>
                <w:szCs w:val="20"/>
                <w:color w:val="auto"/>
              </w:rPr>
            </w:pPr>
            <w:r>
              <w:rPr>
                <w:rFonts w:ascii="Arial" w:cs="Arial" w:eastAsia="Arial" w:hAnsi="Arial"/>
                <w:sz w:val="14"/>
                <w:szCs w:val="14"/>
                <w:b w:val="1"/>
                <w:bCs w:val="1"/>
                <w:color w:val="auto"/>
              </w:rPr>
              <w:t>Measure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Measure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Inventory</w:t>
            </w: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Crude oil</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5,665</w:t>
            </w:r>
          </w:p>
        </w:tc>
        <w:tc>
          <w:tcPr>
            <w:tcW w:w="900" w:type="dxa"/>
            <w:vAlign w:val="bottom"/>
          </w:tcPr>
          <w:p>
            <w:pPr>
              <w:spacing w:after="0"/>
              <w:rPr>
                <w:sz w:val="20"/>
                <w:szCs w:val="20"/>
                <w:color w:val="auto"/>
              </w:rPr>
            </w:pPr>
            <w:r>
              <w:rPr>
                <w:rFonts w:ascii="Arial" w:cs="Arial" w:eastAsia="Arial" w:hAnsi="Arial"/>
                <w:sz w:val="18"/>
                <w:szCs w:val="18"/>
                <w:color w:val="auto"/>
              </w:rPr>
              <w:t>barrels</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476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84.02</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6,951</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barrels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540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17,392</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40.19</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8,061</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Natural gas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29,245</w:t>
            </w:r>
          </w:p>
        </w:tc>
        <w:tc>
          <w:tcPr>
            <w:tcW w:w="900" w:type="dxa"/>
            <w:vAlign w:val="bottom"/>
          </w:tcPr>
          <w:p>
            <w:pPr>
              <w:spacing w:after="0"/>
              <w:rPr>
                <w:sz w:val="20"/>
                <w:szCs w:val="20"/>
                <w:color w:val="auto"/>
              </w:rPr>
            </w:pPr>
            <w:r>
              <w:rPr>
                <w:rFonts w:ascii="Arial" w:cs="Arial" w:eastAsia="Arial" w:hAnsi="Arial"/>
                <w:sz w:val="18"/>
                <w:szCs w:val="18"/>
                <w:color w:val="auto"/>
              </w:rPr>
              <w:t>Mcf</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4.07</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40,505</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Mcf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Inventory subtotal</w:t>
            </w:r>
          </w:p>
        </w:tc>
        <w:tc>
          <w:tcPr>
            <w:tcW w:w="9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right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11,390</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62.77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10,966</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NGL</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1,214</w:t>
            </w:r>
          </w:p>
        </w:tc>
        <w:tc>
          <w:tcPr>
            <w:tcW w:w="900" w:type="dxa"/>
            <w:vAlign w:val="bottom"/>
          </w:tcPr>
          <w:p>
            <w:pPr>
              <w:spacing w:after="0"/>
              <w:rPr>
                <w:sz w:val="20"/>
                <w:szCs w:val="20"/>
                <w:color w:val="auto"/>
              </w:rPr>
            </w:pPr>
            <w:r>
              <w:rPr>
                <w:rFonts w:ascii="Arial" w:cs="Arial" w:eastAsia="Arial" w:hAnsi="Arial"/>
                <w:sz w:val="18"/>
                <w:szCs w:val="18"/>
                <w:color w:val="auto"/>
              </w:rPr>
              <w:t>barrels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44.48</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1,341</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28,612</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Mcf</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4.68</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16,615</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Mcf</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60" w:type="dxa"/>
            <w:vAlign w:val="bottom"/>
          </w:tcPr>
          <w:p>
            <w:pPr>
              <w:ind w:left="160"/>
              <w:spacing w:after="0" w:line="182" w:lineRule="exact"/>
              <w:rPr>
                <w:sz w:val="20"/>
                <w:szCs w:val="20"/>
                <w:color w:val="auto"/>
              </w:rPr>
            </w:pPr>
            <w:r>
              <w:rPr>
                <w:rFonts w:ascii="Arial" w:cs="Arial" w:eastAsia="Arial" w:hAnsi="Arial"/>
                <w:sz w:val="18"/>
                <w:szCs w:val="18"/>
                <w:color w:val="auto"/>
              </w:rPr>
              <w:t>Linefill and base gas</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340"/>
              <w:spacing w:after="0"/>
              <w:rPr>
                <w:sz w:val="20"/>
                <w:szCs w:val="20"/>
                <w:color w:val="auto"/>
              </w:rPr>
            </w:pPr>
            <w:r>
              <w:rPr>
                <w:rFonts w:ascii="Arial" w:cs="Arial" w:eastAsia="Arial" w:hAnsi="Arial"/>
                <w:sz w:val="18"/>
                <w:szCs w:val="18"/>
                <w:color w:val="auto"/>
              </w:rPr>
              <w:t>subtotal</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798</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2,557</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80.95</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2,498</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NGL</w:t>
            </w:r>
          </w:p>
        </w:tc>
        <w:tc>
          <w:tcPr>
            <w:tcW w:w="11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1,681</w:t>
            </w:r>
          </w:p>
        </w:tc>
        <w:tc>
          <w:tcPr>
            <w:tcW w:w="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barrels</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37.48</w:t>
            </w:r>
          </w:p>
        </w:tc>
        <w:tc>
          <w:tcPr>
            <w:tcW w:w="1240" w:type="dxa"/>
            <w:vAlign w:val="bottom"/>
            <w:tcBorders>
              <w:bottom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1,161</w:t>
            </w:r>
          </w:p>
        </w:tc>
        <w:tc>
          <w:tcPr>
            <w:tcW w:w="10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6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rPr>
              <w:t>Long-term inventory</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598"/>
        <w:spacing w:after="0" w:line="227" w:lineRule="auto"/>
        <w:tabs>
          <w:tab w:leader="none" w:pos="64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At the end of each reporting period, we assess the carrying value of our inventory and make any adjustments necessary to reduce the carrying value to the applicable net realizable value. We did not record any such charges during the three months ended September 30, 2014. We recorded a charge of $37 million during the nine months ended September 30, 2014 related to the writedown of our natural gas inventory that was purchased in conjunction with managing natural gas storage deliverability requirements during the extended period of severe cold weather in the first quarter of 2014. During the three and nine months ended September 30, 2013, we recorded a charge of $7 million, primarily related to the writedown of our crude oil inventory due to declines in prices during the period. These adjustments are a component of “Purchases and related costs” on our accompanying condensed consolidated statements of operations. The recognition of the adjustment in 2013 was substantially offset by the recognition of gains on derivative instruments being utilized to hedge the future sales of our crude oil inventory. Substantially all of such gains were recorded to “Supply and Logistics segment revenues” on our accompanying condensed consolidated statements of operations. See Note 10 for discussion of our derivatives and risk management activities.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reflects our goodwill by segment and changes during the period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Supply and Logistics</w:t>
            </w:r>
          </w:p>
        </w:tc>
        <w:tc>
          <w:tcPr>
            <w:tcW w:w="300" w:type="dxa"/>
            <w:vAlign w:val="bottom"/>
          </w:tcPr>
          <w:p>
            <w:pPr>
              <w:spacing w:after="0"/>
              <w:rPr>
                <w:sz w:val="14"/>
                <w:szCs w:val="14"/>
                <w:color w:val="auto"/>
              </w:rPr>
            </w:pPr>
          </w:p>
        </w:tc>
        <w:tc>
          <w:tcPr>
            <w:tcW w:w="1160" w:type="dxa"/>
            <w:vAlign w:val="bottom"/>
            <w:gridSpan w:val="3"/>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Balance at September 30, 2014</w:t>
            </w:r>
          </w:p>
        </w:tc>
        <w:tc>
          <w:tcPr>
            <w:tcW w:w="7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completed our annual goodwill impairment test as of June 30, 2014 and determined that there was no impairment of goodwill.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as of the dates indicated (in millions):</w:t>
      </w:r>
    </w:p>
    <w:p>
      <w:pPr>
        <w:sectPr>
          <w:pgSz w:w="11900" w:h="16838" w:orient="portrait"/>
          <w:cols w:equalWidth="0" w:num="1">
            <w:col w:w="11420"/>
          </w:cols>
          <w:pgMar w:left="240" w:top="341" w:right="2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SHORT-TERM DEBT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line="216" w:lineRule="exact"/>
              <w:rPr>
                <w:sz w:val="20"/>
                <w:szCs w:val="20"/>
                <w:color w:val="auto"/>
              </w:rPr>
            </w:pPr>
            <w:r>
              <w:rPr>
                <w:rFonts w:ascii="Arial" w:cs="Arial" w:eastAsia="Arial" w:hAnsi="Arial"/>
                <w:sz w:val="18"/>
                <w:szCs w:val="18"/>
                <w:color w:val="auto"/>
                <w:w w:val="92"/>
              </w:rPr>
              <w:t xml:space="preserve">PAA commercial paper notes, bearing a weighted-average interest rate of 0.30% and 0.33%, respectively </w:t>
            </w:r>
            <w:r>
              <w:rPr>
                <w:rFonts w:ascii="Arial" w:cs="Arial" w:eastAsia="Arial" w:hAnsi="Arial"/>
                <w:sz w:val="23"/>
                <w:szCs w:val="23"/>
                <w:color w:val="auto"/>
                <w:w w:val="92"/>
                <w:vertAlign w:val="superscript"/>
              </w:rPr>
              <w:t>(1)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PAA senior notes: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5.25% senior notes due June 2015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3.95% senior notes due September 2015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short-term debt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PAA senior notes: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5.25% senior notes due June 2015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3.95% senior notes due September 2015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5.88% senior notes due August 2016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6.13% senior notes due January 2017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6.50% senior notes due May 2018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8.75% senior notes due May 2019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5.75% senior notes due January 2020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5.00% senior notes due February 2021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3.65% senior notes due June 2022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2.85% senior notes due January 2023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3.85% senior notes due October 2023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3.60% senior notes due November 2024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6.70% senior notes due May 2036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6.65% senior notes due January 2037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5.15% senior notes due June 2042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4.30% senior notes due January 2043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4.70% senior notes due June 2044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Unamortized discounts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PAA senior notes, net of unamortized discounts</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tcPr>
          <w:p>
            <w:pPr>
              <w:spacing w:after="0" w:line="196" w:lineRule="exact"/>
              <w:rPr>
                <w:sz w:val="20"/>
                <w:szCs w:val="20"/>
                <w:color w:val="auto"/>
              </w:rPr>
            </w:pPr>
            <w:r>
              <w:rPr>
                <w:rFonts w:ascii="Arial" w:cs="Arial" w:eastAsia="Arial" w:hAnsi="Arial"/>
                <w:sz w:val="18"/>
                <w:szCs w:val="18"/>
                <w:color w:val="auto"/>
              </w:rPr>
              <w:t>Credit Facilities and Other:</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AAP term loan, bearing a weighted-average interest rate of 1.8% and 1.9%, respectively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tcPr>
          <w:p>
            <w:pPr>
              <w:ind w:left="160"/>
              <w:spacing w:after="0" w:line="201" w:lineRule="exact"/>
              <w:rPr>
                <w:sz w:val="20"/>
                <w:szCs w:val="20"/>
                <w:color w:val="auto"/>
              </w:rPr>
            </w:pPr>
            <w:r>
              <w:rPr>
                <w:rFonts w:ascii="Arial" w:cs="Arial" w:eastAsia="Arial" w:hAnsi="Arial"/>
                <w:sz w:val="18"/>
                <w:szCs w:val="18"/>
                <w:color w:val="auto"/>
                <w:w w:val="94"/>
              </w:rPr>
              <w:t>AAP senior secured revolving credit facility, bearing a weighted-average interest rate of 1.7% and 2.2%,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respectively </w:t>
            </w:r>
            <w:r>
              <w:rPr>
                <w:rFonts w:ascii="Arial" w:cs="Arial" w:eastAsia="Arial" w:hAnsi="Arial"/>
                <w:sz w:val="23"/>
                <w:szCs w:val="23"/>
                <w:color w:val="auto"/>
                <w:vertAlign w:val="superscript"/>
              </w:rPr>
              <w:t>(2)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long-term debt</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8,144</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bottom w:val="single" w:sz="8" w:color="CCEEFF"/>
            </w:tcBorders>
            <w:shd w:val="clear" w:color="auto" w:fill="CCEEFF"/>
          </w:tcPr>
          <w:p>
            <w:pPr>
              <w:ind w:left="520"/>
              <w:spacing w:after="0" w:line="21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(3)</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20" w:right="239" w:bottom="127"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0" w:hanging="11"/>
        <w:spacing w:after="0" w:line="255" w:lineRule="auto"/>
        <w:rPr>
          <w:sz w:val="20"/>
          <w:szCs w:val="20"/>
          <w:color w:val="auto"/>
        </w:rPr>
      </w:pPr>
      <w:r>
        <w:rPr>
          <w:rFonts w:ascii="Arial" w:cs="Arial" w:eastAsia="Arial" w:hAnsi="Arial"/>
          <w:sz w:val="18"/>
          <w:szCs w:val="18"/>
          <w:color w:val="auto"/>
        </w:rPr>
        <w:t>PAA commercial paper notes are backstopped by the PAA senior unsecured revolving credit facility and the PAA senior secured hedged inventory facility, which mature in August 2019 and August 2017, respectively; as such, any borrowings under the PAA commercial paper program effectively reduce the available capacity under these facilities. At September 30, 2014 and December 31, 2013, we classified $423 million and approximately $1.1 billion, respectively, of borrowings under the PAA commercial paper program as short-term. These borrowings are primarily designated as working capital borrowings, must be repaid within one year and are primarily for hedged NGL and crude oil inventory and NYMEX and ICE margin deposits.</w:t>
      </w:r>
    </w:p>
    <w:p>
      <w:pPr>
        <w:spacing w:after="0" w:line="193" w:lineRule="exact"/>
        <w:rPr>
          <w:sz w:val="20"/>
          <w:szCs w:val="20"/>
          <w:color w:val="auto"/>
        </w:rPr>
      </w:pPr>
    </w:p>
    <w:p>
      <w:pPr>
        <w:ind w:left="20" w:right="220" w:hanging="11"/>
        <w:spacing w:after="0" w:line="277" w:lineRule="auto"/>
        <w:rPr>
          <w:sz w:val="20"/>
          <w:szCs w:val="20"/>
          <w:color w:val="auto"/>
        </w:rPr>
      </w:pPr>
      <w:r>
        <w:rPr>
          <w:rFonts w:ascii="Arial" w:cs="Arial" w:eastAsia="Arial" w:hAnsi="Arial"/>
          <w:sz w:val="18"/>
          <w:szCs w:val="18"/>
          <w:color w:val="auto"/>
        </w:rPr>
        <w:t>In September 2014, AAP extended the maturity dates of its term loan and senior secured revolving credit facility. See “Credit Facilities” below for further discussion.</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320" w:right="239" w:bottom="127"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652"/>
        <w:spacing w:after="0" w:line="277" w:lineRule="auto"/>
        <w:tabs>
          <w:tab w:leader="none" w:pos="64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PAA’s fixed-rate senior notes (including current maturities) had a face value of approximately $8.2 billion and $6.7 billion at September 30, 2014 and December 31, 2013, respectively. We estimated the aggregate fair value of these notes as of September 30, 2014 and December 31, 2013 to be approximately $8.8 billion and $7.2 billion, respectively. PAA’s fixed-rate senior notes are traded among institutions, and these trades are routinely published by a reporting service. Our determination of fair value is based on reported trading activity near quarter end. We estimate that the carrying value of outstanding borrowings under the credit facilities and the PAA commercial paper program approximates fair value as interest rates reflect current market rates. The fair value estimates for the PAA senior notes, the credit facilities and the PAA commercial paper program are based upon observable market data and are classified within Level 2 of the fair value hierarchy. See Note 10 for additional discussion of the fair value hierarchy.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August 2014, PAA extended the maturity dates of its senior secured hedged inventory facility and senior unsecured revolving credit facility by one year through the exercise of the option included in the current credit agreements. The PAA senior secured hedged inventory facility and the PAA senior unsecured revolving credit facility now mature in August 2017 and August 2019, respectively.</w:t>
      </w:r>
    </w:p>
    <w:p>
      <w:pPr>
        <w:spacing w:after="0" w:line="181"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September 2014, AAP extended the maturity dates of its term loan and senior secured revolving credit facility by one year through the exercise of the option included in the current credit agreement. The AAP term loan and AAP senior secured revolving credit facility now mature in September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ectPr>
          <w:pgSz w:w="11900" w:h="16838" w:orient="portrait"/>
          <w:cols w:equalWidth="0" w:num="1">
            <w:col w:w="11420"/>
          </w:cols>
          <w:pgMar w:left="240" w:top="320" w:right="239" w:bottom="127" w:gutter="0" w:footer="0" w:header="0"/>
          <w:type w:val="continuous"/>
        </w:sectPr>
      </w:pPr>
    </w:p>
    <w:bookmarkStart w:id="9" w:name="page10"/>
    <w:bookmarkEnd w:id="9"/>
    <w:p>
      <w:pPr>
        <w:spacing w:after="0" w:line="41"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Total borrowings under credit agreements and the PAA commercial paper program for the nine months ended September 30, 2014 and 2013 were approximately $55.7 billion and $13.2 billion, respectively. Total repayments under credit agreements and the PAA commercial paper program for the nine months ended September 30, 2014 and 2013 were approximately $56.3 billion and $13.4 billion,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connection with our supply and logistics activities, we provide certain suppliers with irrevocable standby letters of credit to secure our obligation for the purchase of crude oil, NGL and natural gas. Additionally, we issue letters of credit to support insurance programs and construction activities. At September 30, 2014 and December 31, 2013 we had outstanding letters of credit of $66 million and $41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Senior Notes Issuances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On April 23, 2014, PAA completed the issuance of $700 million, 4.70% senior notes due 2044 at a public offering price of 99.734%. Interest payments are due on June 15 and December 15 of each year, commencing on December 15, 2014. In anticipation of the issuance of these senior notes, PAA entered into $250 million notional principal amount of U.S. treasury locks in March and April 2014 to hedge the treasury rate portion of the interest rate on a portion of the notes. PAA terminated these treasury locks in April 2014. See Note 10 for additional disclosure.</w:t>
      </w:r>
    </w:p>
    <w:p>
      <w:pPr>
        <w:spacing w:after="0" w:line="17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On September 9, 2014, PAA completed the issuance of $750 million, 3.60% senior notes due 2024 at a public offering price of 99.842%. Interest payments are due on May 1 and November 1 of each year, commencing on May 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Commercial Paper Program</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Effective October 20, 2014, the maximum aggregate borrowing capacity under the PAA commercial paper program was increased from $1.5 billion to $3.0 billion.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7—Net Income Per Class A Share</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Basic net income per Class A share is determined by dividing net income attributable to PAGP by the weighted average number of outstanding Class A shares during the period. Class B shares do not share in the earnings of the Partnership. Accordingly, basic and diluted net income per Class B share has not been presented.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Diluted net income per Class A share is determined by dividing net income attributable to PAGP by the weighted average number of outstanding diluted Class A shares during the period. For purposes of calculating diluted net income per Class A share, both the net income attributable to PAGP and the weighted average number of outstanding diluted Class A shares consider the impact of possible future exchanges of (i) AAP units and the associated Class B shares into our Class A shares and (ii) certain Class B units of AAP (referred to herein as “AAP Management Units”) into our Class A shares. In addition, the calculation of the weighted average number of outstanding diluted Class A shares considers the effect of potentially dilutive awards under the Plains GP Holdings, L.P. Long-Term Incentive Plan (the “PAGP LTIP”).</w:t>
      </w:r>
    </w:p>
    <w:p>
      <w:pPr>
        <w:spacing w:after="0" w:line="19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All AAP Management Units that have satisfied the applicable performance condition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Our PAGP LTIP awards that contemplate the issuance of Class A Shares are considered dilutive unless (i) vesting occurs only upon the satisfaction of a performance condition and (ii) that performance condition has yet to be satisfied. PAGP LTIP awards that are deemed to be dilutive are reduced by a hypothetical share repurchase based on the remaining unamortized fair value, as prescribed by the treasury stock method in guidance issued by FASB. All outstanding PAGP LTIP awards as of September 30, 2014 are dilutive.</w:t>
      </w:r>
    </w:p>
    <w:p>
      <w:pPr>
        <w:spacing w:after="0" w:line="17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For the three and nine months ended September 30, 2014, the possible exchange of any AAP units and certain AAP Management Units would have had an antidilutive effect on net income per Class A share. For the same periods, our PAGP LTIP awards are dilutive; however, there are less than 0.1 million dilutive LTIP awards, which amount is not large enough to change the presentation of weighted average shares outstanding or net income per Class A share. The following table illustrates the calculation of basic net income per Class A share and diluted net income per Class A share for the three and nine months ended September 30, 2014 (in millions, except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2"/>
          </w:tcPr>
          <w:p>
            <w:pPr>
              <w:ind w:left="1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00" w:type="dxa"/>
            <w:vAlign w:val="bottom"/>
          </w:tcPr>
          <w:p>
            <w:pPr>
              <w:jc w:val="right"/>
              <w:ind w:right="8"/>
              <w:spacing w:after="0"/>
              <w:rPr>
                <w:sz w:val="20"/>
                <w:szCs w:val="20"/>
                <w:color w:val="auto"/>
              </w:rPr>
            </w:pPr>
            <w:r>
              <w:rPr>
                <w:rFonts w:ascii="Arial" w:cs="Arial" w:eastAsia="Arial" w:hAnsi="Arial"/>
                <w:sz w:val="14"/>
                <w:szCs w:val="14"/>
                <w:b w:val="1"/>
                <w:bCs w:val="1"/>
                <w:color w:val="auto"/>
              </w:rPr>
              <w:t>September 30, 2014</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 2014</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Net Income per Class A Share</w:t>
            </w:r>
          </w:p>
        </w:tc>
        <w:tc>
          <w:tcPr>
            <w:tcW w:w="1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2800" w:type="dxa"/>
            <w:vAlign w:val="bottom"/>
            <w:gridSpan w:val="2"/>
          </w:tcPr>
          <w:p>
            <w:pPr>
              <w:jc w:val="right"/>
              <w:ind w:right="154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 average Class A shares outstanding</w:t>
            </w:r>
          </w:p>
        </w:tc>
        <w:tc>
          <w:tcPr>
            <w:tcW w:w="1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income per Class A share</w:t>
            </w:r>
          </w:p>
        </w:tc>
        <w:tc>
          <w:tcPr>
            <w:tcW w:w="2800" w:type="dxa"/>
            <w:vAlign w:val="bottom"/>
            <w:gridSpan w:val="2"/>
            <w:shd w:val="clear" w:color="auto" w:fill="CCEEFF"/>
          </w:tcPr>
          <w:p>
            <w:pPr>
              <w:jc w:val="right"/>
              <w:ind w:right="1548"/>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0.12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8—Partners’ Capital and Distributions</w:t>
            </w:r>
          </w:p>
        </w:tc>
        <w:tc>
          <w:tcPr>
            <w:tcW w:w="1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details the distributions paid to Class A shareholders during or pertaining to the first nine months of 2014 (in millions,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350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Distribution Date</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94"/>
              </w:rPr>
              <w:t>Distributions to</w:t>
            </w:r>
          </w:p>
        </w:tc>
        <w:tc>
          <w:tcPr>
            <w:tcW w:w="1820" w:type="dxa"/>
            <w:vAlign w:val="bottom"/>
          </w:tcPr>
          <w:p>
            <w:pPr>
              <w:jc w:val="center"/>
              <w:ind w:left="708"/>
              <w:spacing w:after="0"/>
              <w:rPr>
                <w:sz w:val="20"/>
                <w:szCs w:val="20"/>
                <w:color w:val="auto"/>
              </w:rPr>
            </w:pPr>
            <w:r>
              <w:rPr>
                <w:rFonts w:ascii="Arial" w:cs="Arial" w:eastAsia="Arial" w:hAnsi="Arial"/>
                <w:sz w:val="14"/>
                <w:szCs w:val="14"/>
                <w:b w:val="1"/>
                <w:bCs w:val="1"/>
                <w:color w:val="auto"/>
                <w:w w:val="92"/>
              </w:rPr>
              <w:t>Distributions per</w:t>
            </w:r>
          </w:p>
        </w:tc>
        <w:tc>
          <w:tcPr>
            <w:tcW w:w="0" w:type="dxa"/>
            <w:vAlign w:val="bottom"/>
          </w:tcPr>
          <w:p>
            <w:pPr>
              <w:spacing w:after="0"/>
              <w:rPr>
                <w:sz w:val="1"/>
                <w:szCs w:val="1"/>
                <w:color w:val="auto"/>
              </w:rPr>
            </w:pPr>
          </w:p>
        </w:tc>
      </w:tr>
      <w:tr>
        <w:trPr>
          <w:trHeight w:val="186"/>
        </w:trPr>
        <w:tc>
          <w:tcPr>
            <w:tcW w:w="2620" w:type="dxa"/>
            <w:vAlign w:val="bottom"/>
            <w:vMerge w:val="continue"/>
          </w:tcPr>
          <w:p>
            <w:pPr>
              <w:spacing w:after="0"/>
              <w:rPr>
                <w:sz w:val="16"/>
                <w:szCs w:val="16"/>
                <w:color w:val="auto"/>
              </w:rPr>
            </w:pPr>
          </w:p>
        </w:tc>
        <w:tc>
          <w:tcPr>
            <w:tcW w:w="3500" w:type="dxa"/>
            <w:vAlign w:val="bottom"/>
            <w:vMerge w:val="continue"/>
          </w:tcPr>
          <w:p>
            <w:pPr>
              <w:spacing w:after="0"/>
              <w:rPr>
                <w:sz w:val="16"/>
                <w:szCs w:val="16"/>
                <w:color w:val="auto"/>
              </w:rPr>
            </w:pP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89"/>
              </w:rPr>
              <w:t>Class A Shareholders</w:t>
            </w:r>
          </w:p>
        </w:tc>
        <w:tc>
          <w:tcPr>
            <w:tcW w:w="1820" w:type="dxa"/>
            <w:vAlign w:val="bottom"/>
          </w:tcPr>
          <w:p>
            <w:pPr>
              <w:jc w:val="center"/>
              <w:ind w:left="708"/>
              <w:spacing w:after="0"/>
              <w:rPr>
                <w:sz w:val="20"/>
                <w:szCs w:val="20"/>
                <w:color w:val="auto"/>
              </w:rPr>
            </w:pPr>
            <w:r>
              <w:rPr>
                <w:rFonts w:ascii="Arial" w:cs="Arial" w:eastAsia="Arial" w:hAnsi="Arial"/>
                <w:sz w:val="14"/>
                <w:szCs w:val="14"/>
                <w:b w:val="1"/>
                <w:bCs w:val="1"/>
                <w:color w:val="auto"/>
                <w:w w:val="92"/>
              </w:rPr>
              <w:t xml:space="preserve">Class A Share </w:t>
            </w:r>
            <w:r>
              <w:rPr>
                <w:rFonts w:ascii="Arial" w:cs="Arial" w:eastAsia="Arial" w:hAnsi="Arial"/>
                <w:sz w:val="8"/>
                <w:szCs w:val="8"/>
                <w:b w:val="1"/>
                <w:bCs w:val="1"/>
                <w:color w:val="auto"/>
                <w:w w:val="92"/>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90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90500"/>
                    </a:xfrm>
                    <a:prstGeom prst="rect">
                      <a:avLst/>
                    </a:prstGeom>
                    <a:noFill/>
                  </pic:spPr>
                </pic:pic>
              </a:graphicData>
            </a:graphic>
          </wp:anchor>
        </w:drawing>
      </w:r>
    </w:p>
    <w:p>
      <w:pPr>
        <w:sectPr>
          <w:pgSz w:w="11900" w:h="16880" w:orient="portrait"/>
          <w:cols w:equalWidth="0" w:num="1">
            <w:col w:w="11420"/>
          </w:cols>
          <w:pgMar w:left="240" w:top="125" w:right="239" w:bottom="0" w:gutter="0" w:footer="0" w:header="0"/>
        </w:sectPr>
      </w:pPr>
    </w:p>
    <w:p>
      <w:pPr>
        <w:spacing w:after="0"/>
        <w:tabs>
          <w:tab w:leader="none" w:pos="3720" w:val="left"/>
          <w:tab w:leader="none" w:pos="6300" w:val="left"/>
          <w:tab w:leader="none" w:pos="8420" w:val="left"/>
          <w:tab w:leader="none" w:pos="9020" w:val="left"/>
          <w:tab w:leader="none" w:pos="10700" w:val="left"/>
        </w:tabs>
        <w:rPr>
          <w:sz w:val="20"/>
          <w:szCs w:val="20"/>
          <w:color w:val="auto"/>
        </w:rPr>
      </w:pPr>
      <w:r>
        <w:rPr>
          <w:rFonts w:ascii="Arial" w:cs="Arial" w:eastAsia="Arial" w:hAnsi="Arial"/>
          <w:sz w:val="18"/>
          <w:szCs w:val="18"/>
          <w:color w:val="auto"/>
        </w:rPr>
        <w:t>October 8, 2014</w:t>
      </w:r>
      <w:r>
        <w:rPr>
          <w:sz w:val="20"/>
          <w:szCs w:val="20"/>
          <w:color w:val="auto"/>
        </w:rPr>
        <w:tab/>
      </w:r>
      <w:r>
        <w:rPr>
          <w:rFonts w:ascii="Arial" w:cs="Arial" w:eastAsia="Arial" w:hAnsi="Arial"/>
          <w:sz w:val="18"/>
          <w:szCs w:val="18"/>
          <w:color w:val="auto"/>
        </w:rPr>
        <w:t xml:space="preserve">November 14, 2014 </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0.19075</w:t>
      </w:r>
    </w:p>
    <w:p>
      <w:pPr>
        <w:sectPr>
          <w:pgSz w:w="11900" w:h="16880" w:orient="portrait"/>
          <w:cols w:equalWidth="0" w:num="1">
            <w:col w:w="11420"/>
          </w:cols>
          <w:pgMar w:left="240" w:top="125" w:right="239" w:bottom="0" w:gutter="0" w:footer="0" w:header="0"/>
          <w:type w:val="continuous"/>
        </w:sectPr>
      </w:pPr>
    </w:p>
    <w:bookmarkStart w:id="10" w:name="page11"/>
    <w:bookmarkEnd w:id="1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July 8, 2014</w:t>
            </w:r>
          </w:p>
        </w:tc>
        <w:tc>
          <w:tcPr>
            <w:tcW w:w="3260" w:type="dxa"/>
            <w:vAlign w:val="bottom"/>
          </w:tcPr>
          <w:p>
            <w:pPr>
              <w:ind w:left="1300"/>
              <w:spacing w:after="0"/>
              <w:rPr>
                <w:sz w:val="20"/>
                <w:szCs w:val="20"/>
                <w:color w:val="auto"/>
              </w:rPr>
            </w:pPr>
            <w:r>
              <w:rPr>
                <w:rFonts w:ascii="Arial" w:cs="Arial" w:eastAsia="Arial" w:hAnsi="Arial"/>
                <w:sz w:val="18"/>
                <w:szCs w:val="18"/>
                <w:color w:val="auto"/>
              </w:rPr>
              <w:t>August 14, 2014</w:t>
            </w:r>
          </w:p>
        </w:tc>
        <w:tc>
          <w:tcPr>
            <w:tcW w:w="17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25</w:t>
            </w:r>
          </w:p>
        </w:tc>
        <w:tc>
          <w:tcPr>
            <w:tcW w:w="11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0.18340</w:t>
            </w: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April 7,</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32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May 15, 2014</w:t>
            </w:r>
          </w:p>
        </w:tc>
        <w:tc>
          <w:tcPr>
            <w:tcW w:w="17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11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0.17055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0"/>
              </w:rPr>
              <w:t>January</w:t>
            </w:r>
          </w:p>
        </w:tc>
        <w:tc>
          <w:tcPr>
            <w:tcW w:w="1840" w:type="dxa"/>
            <w:vAlign w:val="bottom"/>
          </w:tcPr>
          <w:p>
            <w:pPr>
              <w:ind w:left="20"/>
              <w:spacing w:after="0"/>
              <w:rPr>
                <w:sz w:val="20"/>
                <w:szCs w:val="20"/>
                <w:color w:val="auto"/>
              </w:rPr>
            </w:pPr>
            <w:r>
              <w:rPr>
                <w:rFonts w:ascii="Arial" w:cs="Arial" w:eastAsia="Arial" w:hAnsi="Arial"/>
                <w:sz w:val="18"/>
                <w:szCs w:val="18"/>
                <w:color w:val="auto"/>
              </w:rPr>
              <w:t>9, 2014</w:t>
            </w:r>
          </w:p>
        </w:tc>
        <w:tc>
          <w:tcPr>
            <w:tcW w:w="3260" w:type="dxa"/>
            <w:vAlign w:val="bottom"/>
          </w:tcPr>
          <w:p>
            <w:pPr>
              <w:ind w:left="1300"/>
              <w:spacing w:after="0"/>
              <w:rPr>
                <w:sz w:val="20"/>
                <w:szCs w:val="20"/>
                <w:color w:val="auto"/>
              </w:rPr>
            </w:pPr>
            <w:r>
              <w:rPr>
                <w:rFonts w:ascii="Arial" w:cs="Arial" w:eastAsia="Arial" w:hAnsi="Arial"/>
                <w:sz w:val="18"/>
                <w:szCs w:val="18"/>
                <w:color w:val="auto"/>
              </w:rPr>
              <w:t>February 14, 2014</w:t>
            </w:r>
          </w:p>
        </w:tc>
        <w:tc>
          <w:tcPr>
            <w:tcW w:w="17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17</w:t>
            </w:r>
          </w:p>
        </w:tc>
        <w:tc>
          <w:tcPr>
            <w:tcW w:w="11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0.12505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Payable to shareholders of record at the close of business on October 31, 2014, for the period July 1, 2014 through September 30, 2014.</w:t>
      </w:r>
    </w:p>
    <w:p>
      <w:pPr>
        <w:spacing w:after="0" w:line="237" w:lineRule="exact"/>
        <w:rPr>
          <w:sz w:val="20"/>
          <w:szCs w:val="20"/>
          <w:color w:val="auto"/>
        </w:rPr>
      </w:pPr>
    </w:p>
    <w:p>
      <w:pPr>
        <w:ind w:left="20" w:right="320" w:hanging="11"/>
        <w:spacing w:after="0" w:line="277" w:lineRule="auto"/>
        <w:rPr>
          <w:sz w:val="20"/>
          <w:szCs w:val="20"/>
          <w:color w:val="auto"/>
        </w:rPr>
      </w:pPr>
      <w:r>
        <w:rPr>
          <w:rFonts w:ascii="Arial" w:cs="Arial" w:eastAsia="Arial" w:hAnsi="Arial"/>
          <w:sz w:val="18"/>
          <w:szCs w:val="18"/>
          <w:color w:val="auto"/>
        </w:rPr>
        <w:t>The distribution per Class A share paid on February 14, 2014 was prorated for the partial quarter following the closing of our IPO on October 21, 2013.</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140" w:space="500"/>
            <w:col w:w="10780"/>
          </w:cols>
          <w:pgMar w:left="240" w:top="140"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Exchange Rights. </w:t>
      </w:r>
      <w:r>
        <w:rPr>
          <w:rFonts w:ascii="Arial" w:cs="Arial" w:eastAsia="Arial" w:hAnsi="Arial"/>
          <w:sz w:val="17"/>
          <w:szCs w:val="17"/>
          <w:color w:val="auto"/>
        </w:rPr>
        <w:t>Holders of AAP units and their permitted transferees each have the right to exchange all or a portion of their AAP units for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shares at an exchange ratio of one Class A share for each AAP unit exchanged (referred to herein as their “Exchange Right”). This Exchange Right may be exercised only if, simultaneously therewith, an equal number of Class B shares and general partner units are transferred by the exercising party to us. For additional information regarding Exchange Rights, see Note 10 to our Consolidated Financial Statements included in Part IV of our 2013 Annual Report on Form 10-K. During the nine months ended September 30, 2014, certain holders of AAP units and their permitted transferees exercised their Exchange Right, which resulted in the exchange of AAP units, general partner units and our Class B shares for our Class A shares. The following table reflects the impact of such Exchange Right exercises on our Class A and Class B shares outstanding: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tcPr>
          <w:p>
            <w:pPr>
              <w:spacing w:after="0"/>
              <w:rPr>
                <w:sz w:val="14"/>
                <w:szCs w:val="14"/>
                <w:color w:val="auto"/>
              </w:rPr>
            </w:pPr>
          </w:p>
        </w:tc>
        <w:tc>
          <w:tcPr>
            <w:tcW w:w="1760" w:type="dxa"/>
            <w:vAlign w:val="bottom"/>
            <w:gridSpan w:val="2"/>
          </w:tcPr>
          <w:p>
            <w:pPr>
              <w:ind w:left="280"/>
              <w:spacing w:after="0"/>
              <w:rPr>
                <w:sz w:val="20"/>
                <w:szCs w:val="20"/>
                <w:color w:val="auto"/>
              </w:rPr>
            </w:pPr>
            <w:r>
              <w:rPr>
                <w:rFonts w:ascii="Arial" w:cs="Arial" w:eastAsia="Arial" w:hAnsi="Arial"/>
                <w:sz w:val="14"/>
                <w:szCs w:val="14"/>
                <w:b w:val="1"/>
                <w:bCs w:val="1"/>
                <w:color w:val="auto"/>
              </w:rPr>
              <w:t>Class B Shares</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Class A Shares</w:t>
            </w: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472,196,136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133,833,637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color w:val="auto"/>
              </w:rPr>
              <w:t>Shares (exchanged)/issued in connection with Exchange Right exercises</w:t>
            </w: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8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(2,213,000)</w:t>
            </w:r>
          </w:p>
        </w:tc>
        <w:tc>
          <w:tcPr>
            <w:tcW w:w="28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2,213,000</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469,983,136</w:t>
            </w:r>
          </w:p>
        </w:tc>
        <w:tc>
          <w:tcPr>
            <w:tcW w:w="2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136,046,637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Sales of Common Units by Subsidiaries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PAA Continuous Offering Program</w:t>
      </w:r>
      <w:r>
        <w:rPr>
          <w:rFonts w:ascii="Arial" w:cs="Arial" w:eastAsia="Arial" w:hAnsi="Arial"/>
          <w:sz w:val="18"/>
          <w:szCs w:val="18"/>
          <w:color w:val="auto"/>
        </w:rPr>
        <w:t>. In August 2014, PAA entered into an equity distribution agreement with several financial institutions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PAA may offer and sell, through sales agents, common units representing limited partner interests in PAA having an aggregate offering price of up to $900 million. During the nine months ended September 30, 2014, PAA issued an aggregate of approximately 11.8 million common units under its continuous offering program, generating proceeds of $655 million, net of offering costs.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jc w:val="both"/>
        <w:ind w:right="280" w:firstLine="648"/>
        <w:spacing w:after="0" w:line="342" w:lineRule="auto"/>
        <w:rPr>
          <w:sz w:val="20"/>
          <w:szCs w:val="20"/>
          <w:color w:val="auto"/>
        </w:rPr>
      </w:pPr>
      <w:r>
        <w:rPr>
          <w:rFonts w:ascii="Arial" w:cs="Arial" w:eastAsia="Arial" w:hAnsi="Arial"/>
          <w:sz w:val="16"/>
          <w:szCs w:val="16"/>
          <w:color w:val="auto"/>
        </w:rPr>
        <w:t>As of September 30, 2014, noncontrolling interests in subsidiaries consisted of (i) a 98% limited partner interest in PAA, (ii) an approximate 78% limited partner interest in AAP that consists of Class A units and AAP Management Units (a profits interest) and (iii) a 25% interest in SLC Pipeline LLC.</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PAA Distributions</w:t>
      </w:r>
      <w:r>
        <w:rPr>
          <w:rFonts w:ascii="Arial" w:cs="Arial" w:eastAsia="Arial" w:hAnsi="Arial"/>
          <w:sz w:val="18"/>
          <w:szCs w:val="18"/>
          <w:color w:val="auto"/>
        </w:rPr>
        <w:t>. The following table details the distributions to PAA’s partners paid during or pertaining to the first nine months of 2014, net of</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distribution reductions (in millions, except per unit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7"/>
              </w:rPr>
              <w:t>Distributions to PAA’s Partners</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Distributions</w:t>
            </w:r>
          </w:p>
        </w:tc>
      </w:tr>
      <w:tr>
        <w:trPr>
          <w:trHeight w:val="142"/>
        </w:trPr>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Limited</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3"/>
          </w:tcPr>
          <w:p>
            <w:pPr>
              <w:jc w:val="right"/>
              <w:ind w:right="866"/>
              <w:spacing w:after="0" w:line="142" w:lineRule="exact"/>
              <w:rPr>
                <w:sz w:val="20"/>
                <w:szCs w:val="20"/>
                <w:color w:val="auto"/>
              </w:rPr>
            </w:pPr>
            <w:r>
              <w:rPr>
                <w:rFonts w:ascii="Arial" w:cs="Arial" w:eastAsia="Arial" w:hAnsi="Arial"/>
                <w:sz w:val="14"/>
                <w:szCs w:val="14"/>
                <w:b w:val="1"/>
                <w:bCs w:val="1"/>
                <w:color w:val="auto"/>
              </w:rPr>
              <w:t>AAP</w:t>
            </w:r>
          </w:p>
        </w:tc>
        <w:tc>
          <w:tcPr>
            <w:tcW w:w="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per limited</w:t>
            </w:r>
          </w:p>
        </w:tc>
      </w:tr>
      <w:tr>
        <w:trPr>
          <w:trHeight w:val="142"/>
        </w:trPr>
        <w:tc>
          <w:tcPr>
            <w:tcW w:w="1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Date Declared</w:t>
            </w:r>
          </w:p>
        </w:tc>
        <w:tc>
          <w:tcPr>
            <w:tcW w:w="2280" w:type="dxa"/>
            <w:vAlign w:val="bottom"/>
          </w:tcPr>
          <w:p>
            <w:pPr>
              <w:ind w:left="600"/>
              <w:spacing w:after="0" w:line="142" w:lineRule="exact"/>
              <w:rPr>
                <w:sz w:val="20"/>
                <w:szCs w:val="20"/>
                <w:color w:val="auto"/>
              </w:rPr>
            </w:pPr>
            <w:r>
              <w:rPr>
                <w:rFonts w:ascii="Arial" w:cs="Arial" w:eastAsia="Arial" w:hAnsi="Arial"/>
                <w:sz w:val="14"/>
                <w:szCs w:val="14"/>
                <w:b w:val="1"/>
                <w:bCs w:val="1"/>
                <w:color w:val="auto"/>
              </w:rPr>
              <w:t>Distribution Date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Partners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Incentive</w:t>
            </w:r>
          </w:p>
        </w:tc>
        <w:tc>
          <w:tcPr>
            <w:tcW w:w="960" w:type="dxa"/>
            <w:vAlign w:val="bottom"/>
          </w:tcPr>
          <w:p>
            <w:pPr>
              <w:jc w:val="right"/>
              <w:ind w:right="206"/>
              <w:spacing w:after="0" w:line="142" w:lineRule="exact"/>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7"/>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5"/>
              </w:rPr>
              <w:t>partner unit</w:t>
            </w:r>
          </w:p>
        </w:tc>
      </w:tr>
      <w:tr>
        <w:trPr>
          <w:trHeight w:val="210"/>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8, 2014</w:t>
            </w:r>
          </w:p>
        </w:tc>
        <w:tc>
          <w:tcPr>
            <w:tcW w:w="2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November 14, 2014 </w:t>
            </w:r>
            <w:r>
              <w:rPr>
                <w:rFonts w:ascii="Arial" w:cs="Arial" w:eastAsia="Arial" w:hAnsi="Arial"/>
                <w:sz w:val="23"/>
                <w:szCs w:val="23"/>
                <w:color w:val="auto"/>
                <w:vertAlign w:val="superscript"/>
              </w:rPr>
              <w:t>(1)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July 8, 2014</w:t>
            </w:r>
          </w:p>
        </w:tc>
        <w:tc>
          <w:tcPr>
            <w:tcW w:w="2280" w:type="dxa"/>
            <w:vAlign w:val="bottom"/>
          </w:tcPr>
          <w:p>
            <w:pPr>
              <w:spacing w:after="0"/>
              <w:rPr>
                <w:sz w:val="20"/>
                <w:szCs w:val="20"/>
                <w:color w:val="auto"/>
              </w:rPr>
            </w:pPr>
            <w:r>
              <w:rPr>
                <w:rFonts w:ascii="Arial" w:cs="Arial" w:eastAsia="Arial" w:hAnsi="Arial"/>
                <w:sz w:val="18"/>
                <w:szCs w:val="18"/>
                <w:color w:val="auto"/>
              </w:rPr>
              <w:t>August 14, 2014</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238</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117</w:t>
            </w: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92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360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0.6450</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7, 2014</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May 15, 2014</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920" w:type="dxa"/>
            <w:vAlign w:val="bottom"/>
            <w:gridSpan w:val="2"/>
            <w:shd w:val="clear" w:color="auto" w:fill="CCEEFF"/>
          </w:tcPr>
          <w:p>
            <w:pPr>
              <w:jc w:val="right"/>
              <w:ind w:right="647"/>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0.6300</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January 9, 2014</w:t>
            </w:r>
          </w:p>
        </w:tc>
        <w:tc>
          <w:tcPr>
            <w:tcW w:w="2280" w:type="dxa"/>
            <w:vAlign w:val="bottom"/>
          </w:tcPr>
          <w:p>
            <w:pPr>
              <w:spacing w:after="0"/>
              <w:rPr>
                <w:sz w:val="20"/>
                <w:szCs w:val="20"/>
                <w:color w:val="auto"/>
              </w:rPr>
            </w:pPr>
            <w:r>
              <w:rPr>
                <w:rFonts w:ascii="Arial" w:cs="Arial" w:eastAsia="Arial" w:hAnsi="Arial"/>
                <w:sz w:val="18"/>
                <w:szCs w:val="18"/>
                <w:color w:val="auto"/>
              </w:rPr>
              <w:t>February 14, 2014</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92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0.6150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October 31, 2014, for the period July 1, 2014 through September 30, 2014.</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nine months ended September 30, 2014, distributions of approximately $2 million were paid to noncontrolling interests in SLC Pipeline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to AAP’s partners from distributions received from PAA paid during or pertaining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nine months of 2014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Distributions received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Cash</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Distributions to AAP’s Partners</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Distribution Date</w:t>
            </w:r>
          </w:p>
        </w:tc>
        <w:tc>
          <w:tcPr>
            <w:tcW w:w="30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Noncontrolling</w:t>
            </w:r>
          </w:p>
        </w:tc>
        <w:tc>
          <w:tcPr>
            <w:tcW w:w="220" w:type="dxa"/>
            <w:vAlign w:val="bottom"/>
          </w:tcPr>
          <w:p>
            <w:pPr>
              <w:spacing w:after="0"/>
              <w:rPr>
                <w:sz w:val="10"/>
                <w:szCs w:val="10"/>
                <w:color w:val="auto"/>
              </w:rPr>
            </w:pPr>
          </w:p>
        </w:tc>
        <w:tc>
          <w:tcPr>
            <w:tcW w:w="9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PAGP</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by AAP from PAA</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Reserves</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Interests</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November 14, 2014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582"/>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129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79"/>
              </w:rPr>
              <w:t>99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August 14, 2014</w:t>
            </w:r>
          </w:p>
        </w:tc>
        <w:tc>
          <w:tcPr>
            <w:tcW w:w="2060" w:type="dxa"/>
            <w:vAlign w:val="bottom"/>
            <w:tcBorders>
              <w:bottom w:val="single" w:sz="8" w:color="CCEEFF"/>
            </w:tcBorders>
            <w:gridSpan w:val="2"/>
          </w:tcPr>
          <w:p>
            <w:pPr>
              <w:jc w:val="right"/>
              <w:ind w:right="158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122</w:t>
            </w:r>
          </w:p>
        </w:tc>
        <w:tc>
          <w:tcPr>
            <w:tcW w:w="1060" w:type="dxa"/>
            <w:vAlign w:val="bottom"/>
            <w:tcBorders>
              <w:bottom w:val="single" w:sz="8" w:color="CCEEFF"/>
            </w:tcBorders>
            <w:gridSpan w:val="2"/>
          </w:tcPr>
          <w:p>
            <w:pPr>
              <w:jc w:val="right"/>
              <w:ind w:right="74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(3)</w:t>
            </w:r>
          </w:p>
        </w:tc>
        <w:tc>
          <w:tcPr>
            <w:tcW w:w="780" w:type="dxa"/>
            <w:vAlign w:val="bottom"/>
            <w:tcBorders>
              <w:bottom w:val="single" w:sz="8" w:color="CCEEFF"/>
            </w:tcBorders>
          </w:tcPr>
          <w:p>
            <w:pPr>
              <w:jc w:val="right"/>
              <w:ind w:right="626"/>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119</w:t>
            </w:r>
          </w:p>
        </w:tc>
        <w:tc>
          <w:tcPr>
            <w:tcW w:w="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tcPr>
          <w:p>
            <w:pPr>
              <w:ind w:left="1100"/>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CCEEFF"/>
            </w:tcBorders>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May 15, 2014</w:t>
            </w:r>
          </w:p>
        </w:tc>
        <w:tc>
          <w:tcPr>
            <w:tcW w:w="18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115</w:t>
            </w:r>
          </w:p>
        </w:tc>
        <w:tc>
          <w:tcPr>
            <w:tcW w:w="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w:t>
            </w:r>
          </w:p>
        </w:tc>
        <w:tc>
          <w:tcPr>
            <w:tcW w:w="8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305"/>
        </w:trPr>
        <w:tc>
          <w:tcPr>
            <w:tcW w:w="2360" w:type="dxa"/>
            <w:vAlign w:val="bottom"/>
          </w:tcPr>
          <w:p>
            <w:pPr>
              <w:spacing w:after="0"/>
              <w:rPr>
                <w:sz w:val="20"/>
                <w:szCs w:val="20"/>
                <w:color w:val="auto"/>
              </w:rPr>
            </w:pPr>
            <w:r>
              <w:rPr>
                <w:rFonts w:ascii="Arial" w:cs="Arial" w:eastAsia="Arial" w:hAnsi="Arial"/>
                <w:sz w:val="18"/>
                <w:szCs w:val="18"/>
                <w:color w:val="auto"/>
              </w:rPr>
              <w:t xml:space="preserve">February 14, 2014 </w:t>
            </w:r>
            <w:r>
              <w:rPr>
                <w:rFonts w:ascii="Arial" w:cs="Arial" w:eastAsia="Arial" w:hAnsi="Arial"/>
                <w:sz w:val="23"/>
                <w:szCs w:val="23"/>
                <w:color w:val="auto"/>
                <w:vertAlign w:val="superscript"/>
              </w:rPr>
              <w:t>(2)</w:t>
            </w:r>
          </w:p>
        </w:tc>
        <w:tc>
          <w:tcPr>
            <w:tcW w:w="180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107</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104</w:t>
            </w: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87</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35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Payable to unitholders of record at the close of business on October 31, 2014, for the period July 1, 2014 through September 30, 2014.</w:t>
      </w:r>
    </w:p>
    <w:p>
      <w:pPr>
        <w:spacing w:after="0" w:line="237" w:lineRule="exact"/>
        <w:rPr>
          <w:sz w:val="20"/>
          <w:szCs w:val="20"/>
          <w:color w:val="auto"/>
        </w:rPr>
      </w:pPr>
    </w:p>
    <w:p>
      <w:pPr>
        <w:ind w:left="20" w:right="100" w:hanging="38"/>
        <w:spacing w:after="0" w:line="259" w:lineRule="auto"/>
        <w:rPr>
          <w:sz w:val="20"/>
          <w:szCs w:val="20"/>
          <w:color w:val="auto"/>
        </w:rPr>
      </w:pPr>
      <w:r>
        <w:rPr>
          <w:rFonts w:ascii="Arial" w:cs="Arial" w:eastAsia="Arial" w:hAnsi="Arial"/>
          <w:sz w:val="18"/>
          <w:szCs w:val="18"/>
          <w:color w:val="auto"/>
        </w:rPr>
        <w:t>The distribution paid by AAP on February 14, 2014 was prorated as of the date of the consummation of our IPO, such that the owners of AAP prior to our IPO received the portion of the distribution attributable to the period prior to our IPO, and the owners of AAP at the date of record of January 31, 2014, including us, received the portion of the distribution attributable to the period beginning on the date of the IPO through the end of the fourth quarter of 2013.</w:t>
      </w:r>
    </w:p>
    <w:p>
      <w:pPr>
        <w:spacing w:after="0" w:line="187" w:lineRule="exact"/>
        <w:rPr>
          <w:sz w:val="20"/>
          <w:szCs w:val="20"/>
          <w:color w:val="auto"/>
        </w:rPr>
      </w:pPr>
    </w:p>
    <w:p>
      <w:pPr>
        <w:sectPr>
          <w:pgSz w:w="11900" w:h="16838" w:orient="portrait"/>
          <w:cols w:equalWidth="0" w:num="2">
            <w:col w:w="140" w:space="500"/>
            <w:col w:w="10780"/>
          </w:cols>
          <w:pgMar w:left="240" w:top="140" w:right="239" w:bottom="0" w:gutter="0" w:footer="0" w:header="0"/>
          <w:type w:val="continuous"/>
        </w:sectPr>
      </w:pPr>
    </w:p>
    <w:p>
      <w:pPr>
        <w:jc w:val="both"/>
        <w:ind w:right="20" w:firstLine="648"/>
        <w:spacing w:after="0" w:line="342" w:lineRule="auto"/>
        <w:rPr>
          <w:sz w:val="20"/>
          <w:szCs w:val="20"/>
          <w:color w:val="auto"/>
        </w:rPr>
      </w:pPr>
      <w:r>
        <w:rPr>
          <w:rFonts w:ascii="Arial" w:cs="Arial" w:eastAsia="Arial" w:hAnsi="Arial"/>
          <w:sz w:val="16"/>
          <w:szCs w:val="16"/>
          <w:color w:val="auto"/>
        </w:rPr>
        <w:t>In September 2013, the AAP credit agreement was amended to increase the amount of the term loan by $300 million. Upon receipt, the net term loan proceeds of $299 million were distributed to AAP’s partners, excluding AAP Management Unit holders, in proportion to their respective ownership interests.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9—Equity-Indexed Compensation Plans</w:t>
      </w:r>
    </w:p>
    <w:p>
      <w:pPr>
        <w:spacing w:after="0" w:line="229"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We refer to the PAGP LTIP, PAA LTIPs and AAP Management Units collectively as our “Equity-indexed compensation plans.” For additional discussion of our equity-indexed compensation plans and awards, see Note 15 to our Consolidated Financial Statements included in Part IV of our 2013 Annual Report on Form 10-K.</w:t>
      </w:r>
    </w:p>
    <w:p>
      <w:pPr>
        <w:spacing w:after="0" w:line="181"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In connection with our IPO in October 2013, our general partner adopted the PAGP LTIP, which is intended to align the interests of employees and directors with those of our shareholders by providing such employees and directors incentive compensation awards that reward achievement of targeted distribution levels and other business objectives. The PAGP LTIP provides for awards of options, restricted shares, phantom shares and share appreciation rights. Certain awards may also include distribution equivalent rights (“DERs”), which, subject to applicable vesting criteria, entitle the grantee to a cash payment equal to the cash distribution paid on an outstanding Class A share. The PAGP LTIP authorizes the issuance of up to 10 million Class A shares deliverable upon vesting. In February 2014, an aggregate of 83,200 phantom Class A shares were issued to our directors, resulting in expense of approximately $1 million for the nine months ended September 30, 2014. These awards will vest annually in 25% increments, beginning in February 2015, and have an automatic re-grant feature such that as they vest, an equivalent amount is granted.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Equity-indexed compensation activity for PAA and PAGP LTIP awards is summarized in the following table (units and shares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Weighted Average</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08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2"/>
              </w:rPr>
              <w:t xml:space="preserve">PAA Units </w:t>
            </w:r>
            <w:r>
              <w:rPr>
                <w:rFonts w:ascii="Arial" w:cs="Arial" w:eastAsia="Arial" w:hAnsi="Arial"/>
                <w:sz w:val="8"/>
                <w:szCs w:val="8"/>
                <w:b w:val="1"/>
                <w:bCs w:val="1"/>
                <w:color w:val="auto"/>
                <w:w w:val="92"/>
              </w:rPr>
              <w:t>(1)</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7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 xml:space="preserve">PAGP Shares </w:t>
            </w:r>
            <w:r>
              <w:rPr>
                <w:rFonts w:ascii="Arial" w:cs="Arial" w:eastAsia="Arial" w:hAnsi="Arial"/>
                <w:sz w:val="8"/>
                <w:szCs w:val="8"/>
                <w:b w:val="1"/>
                <w:bCs w:val="1"/>
                <w:color w:val="auto"/>
              </w:rPr>
              <w:t>(1)</w:t>
            </w:r>
          </w:p>
        </w:tc>
        <w:tc>
          <w:tcPr>
            <w:tcW w:w="180" w:type="dxa"/>
            <w:vAlign w:val="bottom"/>
          </w:tcPr>
          <w:p>
            <w:pPr>
              <w:spacing w:after="0"/>
              <w:rPr>
                <w:sz w:val="12"/>
                <w:szCs w:val="12"/>
                <w:color w:val="auto"/>
              </w:rPr>
            </w:pPr>
          </w:p>
        </w:tc>
        <w:tc>
          <w:tcPr>
            <w:tcW w:w="1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Fair Value per Unit</w:t>
            </w:r>
          </w:p>
        </w:tc>
        <w:tc>
          <w:tcPr>
            <w:tcW w:w="1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w w:val="84"/>
              </w:rPr>
              <w:t>36.97</w:t>
            </w:r>
          </w:p>
        </w:tc>
        <w:tc>
          <w:tcPr>
            <w:tcW w:w="2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tcBorders>
              <w:right w:val="single" w:sz="8" w:color="auto"/>
            </w:tcBorders>
            <w:gridSpan w:val="2"/>
            <w:vMerge w:val="restart"/>
          </w:tcPr>
          <w:p>
            <w:pPr>
              <w:ind w:left="1120"/>
              <w:spacing w:after="0"/>
              <w:rPr>
                <w:sz w:val="20"/>
                <w:szCs w:val="20"/>
                <w:color w:val="auto"/>
              </w:rPr>
            </w:pPr>
            <w:r>
              <w:rPr>
                <w:rFonts w:ascii="Arial" w:cs="Arial" w:eastAsia="Arial" w:hAnsi="Arial"/>
                <w:sz w:val="18"/>
                <w:szCs w:val="18"/>
                <w:color w:val="auto"/>
              </w:rPr>
              <w:t>47.27</w:t>
            </w:r>
          </w:p>
        </w:tc>
        <w:tc>
          <w:tcPr>
            <w:tcW w:w="160" w:type="dxa"/>
            <w:vAlign w:val="bottom"/>
            <w:vMerge w:val="restart"/>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720" w:type="dxa"/>
            <w:vAlign w:val="bottom"/>
            <w:tcBorders>
              <w:right w:val="single" w:sz="8" w:color="auto"/>
            </w:tcBorders>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0.1</w:t>
            </w:r>
          </w:p>
        </w:tc>
        <w:tc>
          <w:tcPr>
            <w:tcW w:w="2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tcBorders>
              <w:right w:val="single" w:sz="8" w:color="auto"/>
            </w:tcBorders>
            <w:gridSpan w:val="2"/>
            <w:shd w:val="clear" w:color="auto" w:fill="CCEEFF"/>
          </w:tcPr>
          <w:p>
            <w:pPr>
              <w:ind w:left="1120"/>
              <w:spacing w:after="0"/>
              <w:rPr>
                <w:sz w:val="20"/>
                <w:szCs w:val="20"/>
                <w:color w:val="auto"/>
              </w:rPr>
            </w:pPr>
            <w:r>
              <w:rPr>
                <w:rFonts w:ascii="Arial" w:cs="Arial" w:eastAsia="Arial" w:hAnsi="Arial"/>
                <w:sz w:val="18"/>
                <w:szCs w:val="18"/>
                <w:color w:val="auto"/>
              </w:rPr>
              <w:t>25.54</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Cancelled or forfeited</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(0.3)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rPr>
              <w:t>39.63</w:t>
            </w:r>
          </w:p>
        </w:tc>
        <w:tc>
          <w:tcPr>
            <w:tcW w:w="16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2014</w:t>
            </w: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CCEEFF"/>
              <w:bottom w:val="single" w:sz="8" w:color="CCEEFF"/>
              <w:right w:val="single" w:sz="8" w:color="auto"/>
            </w:tcBorders>
            <w:gridSpan w:val="2"/>
            <w:shd w:val="clear" w:color="auto" w:fill="CCEEFF"/>
          </w:tcPr>
          <w:p>
            <w:pPr>
              <w:ind w:left="1120"/>
              <w:spacing w:after="0"/>
              <w:rPr>
                <w:sz w:val="20"/>
                <w:szCs w:val="20"/>
                <w:color w:val="auto"/>
              </w:rPr>
            </w:pPr>
            <w:r>
              <w:rPr>
                <w:rFonts w:ascii="Arial" w:cs="Arial" w:eastAsia="Arial" w:hAnsi="Arial"/>
                <w:sz w:val="18"/>
                <w:szCs w:val="18"/>
                <w:color w:val="auto"/>
              </w:rPr>
              <w:t>41.28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do not include AAP Management Units.</w:t>
      </w:r>
    </w:p>
    <w:p>
      <w:pPr>
        <w:spacing w:after="0" w:line="225" w:lineRule="exact"/>
        <w:rPr>
          <w:sz w:val="20"/>
          <w:szCs w:val="20"/>
          <w:color w:val="auto"/>
        </w:rPr>
      </w:pPr>
    </w:p>
    <w:p>
      <w:pPr>
        <w:ind w:left="20" w:right="360" w:hanging="11"/>
        <w:spacing w:after="0" w:line="264" w:lineRule="auto"/>
        <w:rPr>
          <w:sz w:val="20"/>
          <w:szCs w:val="20"/>
          <w:color w:val="auto"/>
        </w:rPr>
      </w:pPr>
      <w:r>
        <w:rPr>
          <w:rFonts w:ascii="Arial" w:cs="Arial" w:eastAsia="Arial" w:hAnsi="Arial"/>
          <w:sz w:val="18"/>
          <w:szCs w:val="18"/>
          <w:color w:val="auto"/>
        </w:rPr>
        <w:t>During the nine months ended September 30, 2014, approximately 0.6 million PAA common units were issued, net of approximately 0.3 million units withheld for taxes, in connection with the settlement of vested awards. The remaining PAA awards (approximately 1.0 million units) that vested during the nine months ended September 30, 2014 were settled in cash.</w:t>
      </w:r>
    </w:p>
    <w:p>
      <w:pPr>
        <w:spacing w:after="0" w:line="18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40"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AAP Management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for AAP Management Units is summarized in the following table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Reserved for</w:t>
            </w: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Outstanding</w:t>
            </w:r>
          </w:p>
        </w:tc>
        <w:tc>
          <w:tcPr>
            <w:tcW w:w="1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Fair Value Of Outstanding</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Future Grants</w:t>
            </w:r>
          </w:p>
        </w:tc>
        <w:tc>
          <w:tcPr>
            <w:tcW w:w="1660" w:type="dxa"/>
            <w:vAlign w:val="bottom"/>
            <w:gridSpan w:val="2"/>
            <w:vMerge w:val="continue"/>
          </w:tcPr>
          <w:p>
            <w:pPr>
              <w:spacing w:after="0"/>
              <w:rPr>
                <w:sz w:val="14"/>
                <w:szCs w:val="14"/>
                <w:color w:val="auto"/>
              </w:rPr>
            </w:pPr>
          </w:p>
        </w:tc>
        <w:tc>
          <w:tcPr>
            <w:tcW w:w="18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Units Earned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 xml:space="preserve">AAP Management Units </w:t>
            </w:r>
            <w:r>
              <w:rPr>
                <w:rFonts w:ascii="Arial" w:cs="Arial" w:eastAsia="Arial" w:hAnsi="Arial"/>
                <w:sz w:val="8"/>
                <w:szCs w:val="8"/>
                <w:b w:val="1"/>
                <w:bCs w:val="1"/>
                <w:color w:val="auto"/>
                <w:w w:val="95"/>
              </w:rPr>
              <w:t>(1)</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(0.4)</w:t>
            </w:r>
          </w:p>
        </w:tc>
        <w:tc>
          <w:tcPr>
            <w:tcW w:w="30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0.4</w:t>
            </w:r>
          </w:p>
        </w:tc>
        <w:tc>
          <w:tcPr>
            <w:tcW w:w="28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w:t>
            </w:r>
          </w:p>
        </w:tc>
        <w:tc>
          <w:tcPr>
            <w:tcW w:w="16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N/A</w:t>
            </w:r>
          </w:p>
        </w:tc>
        <w:tc>
          <w:tcPr>
            <w:tcW w:w="16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N/A</w:t>
            </w:r>
          </w:p>
        </w:tc>
        <w:tc>
          <w:tcPr>
            <w:tcW w:w="16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Balance at September 30, 2014</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60" w:hanging="652"/>
        <w:spacing w:after="0" w:line="227" w:lineRule="auto"/>
        <w:tabs>
          <w:tab w:leader="none" w:pos="64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Of the $62 million grant date fair value, approximately $54 million had been recognized through September 30, 2014. Approximately $5 million of such amount was recognized as expense during the nine months ended September 30, 2014.</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Equity-Indexed Compensation Plan Information</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table below summarizes the expense recognized and the value of vested LTIPs (settled both in PAA common units and cash) under our equity-indexed compensation plans and includes both liability-classified and equity-classified awards (in millions):</w:t>
      </w:r>
    </w:p>
    <w:p>
      <w:pPr>
        <w:spacing w:after="0" w:line="150" w:lineRule="exact"/>
        <w:rPr>
          <w:sz w:val="20"/>
          <w:szCs w:val="20"/>
          <w:color w:val="auto"/>
        </w:rPr>
      </w:pPr>
    </w:p>
    <w:tbl>
      <w:tblPr>
        <w:tblLayout w:type="fixed"/>
        <w:tblInd w:w="5000" w:type="dxa"/>
        <w:tblCellMar>
          <w:top w:w="0" w:type="dxa"/>
          <w:left w:w="0" w:type="dxa"/>
          <w:bottom w:w="0" w:type="dxa"/>
          <w:right w:w="0" w:type="dxa"/>
        </w:tblCellMar>
      </w:tblPr>
      <w:tr>
        <w:trPr>
          <w:trHeight w:val="161"/>
        </w:trPr>
        <w:tc>
          <w:tcPr>
            <w:tcW w:w="2200" w:type="dxa"/>
            <w:vAlign w:val="bottom"/>
          </w:tcPr>
          <w:p>
            <w:pPr>
              <w:jc w:val="center"/>
              <w:ind w:left="768"/>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140" w:type="dxa"/>
            <w:vAlign w:val="bottom"/>
          </w:tcPr>
          <w:p>
            <w:pPr>
              <w:jc w:val="center"/>
              <w:ind w:right="788"/>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2200" w:type="dxa"/>
            <w:vAlign w:val="bottom"/>
            <w:tcBorders>
              <w:bottom w:val="single" w:sz="8" w:color="auto"/>
            </w:tcBorders>
          </w:tcPr>
          <w:p>
            <w:pPr>
              <w:jc w:val="center"/>
              <w:ind w:left="76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center"/>
              <w:ind w:right="788"/>
              <w:spacing w:after="0"/>
              <w:rPr>
                <w:sz w:val="20"/>
                <w:szCs w:val="20"/>
                <w:color w:val="auto"/>
              </w:rPr>
            </w:pPr>
            <w:r>
              <w:rPr>
                <w:rFonts w:ascii="Arial" w:cs="Arial" w:eastAsia="Arial" w:hAnsi="Arial"/>
                <w:sz w:val="14"/>
                <w:szCs w:val="14"/>
                <w:b w:val="1"/>
                <w:bCs w:val="1"/>
                <w:color w:val="auto"/>
                <w:w w:val="91"/>
              </w:rPr>
              <w:t>September 30,</w:t>
            </w:r>
          </w:p>
        </w:tc>
      </w:tr>
      <w:tr>
        <w:trPr>
          <w:trHeight w:val="157"/>
        </w:trPr>
        <w:tc>
          <w:tcPr>
            <w:tcW w:w="2200" w:type="dxa"/>
            <w:vAlign w:val="bottom"/>
          </w:tcPr>
          <w:p>
            <w:pPr>
              <w:jc w:val="right"/>
              <w:ind w:right="1308"/>
              <w:spacing w:after="0" w:line="157" w:lineRule="exact"/>
              <w:rPr>
                <w:sz w:val="20"/>
                <w:szCs w:val="20"/>
                <w:color w:val="auto"/>
              </w:rPr>
            </w:pPr>
            <w:r>
              <w:rPr>
                <w:rFonts w:ascii="Arial" w:cs="Arial" w:eastAsia="Arial" w:hAnsi="Arial"/>
                <w:sz w:val="14"/>
                <w:szCs w:val="14"/>
                <w:b w:val="1"/>
                <w:bCs w:val="1"/>
                <w:color w:val="auto"/>
              </w:rPr>
              <w:t>2014</w:t>
            </w:r>
          </w:p>
        </w:tc>
        <w:tc>
          <w:tcPr>
            <w:tcW w:w="840" w:type="dxa"/>
            <w:vAlign w:val="bottom"/>
          </w:tcPr>
          <w:p>
            <w:pPr>
              <w:jc w:val="right"/>
              <w:ind w:right="468"/>
              <w:spacing w:after="0" w:line="157"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2014</w:t>
            </w:r>
          </w:p>
        </w:tc>
        <w:tc>
          <w:tcPr>
            <w:tcW w:w="2140" w:type="dxa"/>
            <w:vAlign w:val="bottom"/>
          </w:tcPr>
          <w:p>
            <w:pPr>
              <w:jc w:val="right"/>
              <w:ind w:right="468"/>
              <w:spacing w:after="0" w:line="157" w:lineRule="exact"/>
              <w:rPr>
                <w:sz w:val="20"/>
                <w:szCs w:val="20"/>
                <w:color w:val="auto"/>
              </w:rPr>
            </w:pPr>
            <w:r>
              <w:rPr>
                <w:rFonts w:ascii="Arial" w:cs="Arial" w:eastAsia="Arial" w:hAnsi="Arial"/>
                <w:sz w:val="14"/>
                <w:szCs w:val="14"/>
                <w:b w:val="1"/>
                <w:bCs w:val="1"/>
                <w:color w:val="auto"/>
              </w:rPr>
              <w:t>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p>
      <w:pPr>
        <w:spacing w:after="0"/>
        <w:tabs>
          <w:tab w:leader="none" w:pos="4980" w:val="left"/>
          <w:tab w:leader="none" w:pos="6160" w:val="left"/>
          <w:tab w:leader="none" w:pos="6640" w:val="left"/>
          <w:tab w:leader="none" w:pos="7840" w:val="left"/>
          <w:tab w:leader="none" w:pos="8300" w:val="left"/>
          <w:tab w:leader="none" w:pos="9480" w:val="left"/>
          <w:tab w:leader="none" w:pos="9940" w:val="left"/>
          <w:tab w:leader="none" w:pos="11120" w:val="left"/>
        </w:tabs>
        <w:rPr>
          <w:sz w:val="20"/>
          <w:szCs w:val="20"/>
          <w:color w:val="auto"/>
        </w:rPr>
      </w:pPr>
      <w:r>
        <w:rPr>
          <w:rFonts w:ascii="Arial" w:cs="Arial" w:eastAsia="Arial" w:hAnsi="Arial"/>
          <w:sz w:val="18"/>
          <w:szCs w:val="18"/>
          <w:color w:val="auto"/>
        </w:rPr>
        <w:t>Equity-indexed compensation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w:t>
        <w:tab/>
        <w:t>$</w:t>
      </w:r>
      <w:r>
        <w:rPr>
          <w:sz w:val="20"/>
          <w:szCs w:val="20"/>
          <w:color w:val="auto"/>
        </w:rPr>
        <w:tab/>
      </w:r>
      <w:r>
        <w:rPr>
          <w:rFonts w:ascii="Arial" w:cs="Arial" w:eastAsia="Arial" w:hAnsi="Arial"/>
          <w:sz w:val="18"/>
          <w:szCs w:val="18"/>
          <w:color w:val="auto"/>
        </w:rPr>
        <w:t>91</w:t>
        <w:tab/>
        <w:t>$</w:t>
      </w:r>
      <w:r>
        <w:rPr>
          <w:sz w:val="20"/>
          <w:szCs w:val="20"/>
          <w:color w:val="auto"/>
        </w:rPr>
        <w:tab/>
      </w:r>
      <w:r>
        <w:rPr>
          <w:rFonts w:ascii="Arial" w:cs="Arial" w:eastAsia="Arial" w:hAnsi="Arial"/>
          <w:sz w:val="16"/>
          <w:szCs w:val="16"/>
          <w:color w:val="auto"/>
        </w:rPr>
        <w:t>96</w:t>
      </w:r>
    </w:p>
    <w:p>
      <w:pPr>
        <w:sectPr>
          <w:pgSz w:w="11900" w:h="16838" w:orient="portrait"/>
          <w:cols w:equalWidth="0" w:num="1">
            <w:col w:w="11420"/>
          </w:cols>
          <w:pgMar w:left="240" w:top="140" w:right="239" w:bottom="0" w:gutter="0" w:footer="0" w:header="0"/>
          <w:type w:val="continuous"/>
        </w:sectPr>
      </w:pPr>
    </w:p>
    <w:bookmarkStart w:id="12" w:name="page13"/>
    <w:bookmarkEnd w:id="12"/>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LTIP unit-settled vestings</w:t>
            </w:r>
          </w:p>
        </w:tc>
        <w:tc>
          <w:tcPr>
            <w:tcW w:w="22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LTIP cash-settled vestings</w:t>
            </w:r>
          </w:p>
        </w:tc>
        <w:tc>
          <w:tcPr>
            <w:tcW w:w="22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c>
          <w:tcPr>
            <w:tcW w:w="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DER cash payments</w:t>
            </w:r>
          </w:p>
        </w:tc>
        <w:tc>
          <w:tcPr>
            <w:tcW w:w="22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September 30, 2014, net derivative positions related to these activities included:</w:t>
      </w:r>
    </w:p>
    <w:p>
      <w:pPr>
        <w:spacing w:after="0" w:line="147" w:lineRule="exact"/>
        <w:rPr>
          <w:sz w:val="20"/>
          <w:szCs w:val="20"/>
          <w:color w:val="auto"/>
        </w:rPr>
      </w:pPr>
    </w:p>
    <w:p>
      <w:pPr>
        <w:ind w:left="980" w:right="68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average of 248,700 barrels per day net long position (total of 7.7 million barrels) associated with our crude oil purchases, which was unwound ratably during October 2014 to match monthly average pricing.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300" w:hanging="324"/>
        <w:spacing w:after="0" w:line="342" w:lineRule="auto"/>
        <w:tabs>
          <w:tab w:leader="none" w:pos="944" w:val="left"/>
        </w:tabs>
        <w:numPr>
          <w:ilvl w:val="0"/>
          <w:numId w:val="8"/>
        </w:numPr>
        <w:rPr>
          <w:rFonts w:ascii="Arial" w:cs="Arial" w:eastAsia="Arial" w:hAnsi="Arial"/>
          <w:sz w:val="16"/>
          <w:szCs w:val="16"/>
          <w:color w:val="auto"/>
        </w:rPr>
      </w:pPr>
      <w:r>
        <w:rPr>
          <w:rFonts w:ascii="Arial" w:cs="Arial" w:eastAsia="Arial" w:hAnsi="Arial"/>
          <w:sz w:val="16"/>
          <w:szCs w:val="16"/>
          <w:color w:val="auto"/>
        </w:rPr>
        <w:t>A net short time spread position averaging approximately 19,900 barrels per day (total of 11.5 million barrels), which hedges a portion of our anticipated crude oil lease gathering purchases through June 2016. Our use of these derivatives does not expose us to outright price risk.</w:t>
      </w:r>
    </w:p>
    <w:p>
      <w:pPr>
        <w:spacing w:after="0" w:line="123" w:lineRule="exact"/>
        <w:rPr>
          <w:rFonts w:ascii="Arial" w:cs="Arial" w:eastAsia="Arial" w:hAnsi="Arial"/>
          <w:sz w:val="16"/>
          <w:szCs w:val="16"/>
          <w:color w:val="auto"/>
        </w:rPr>
      </w:pPr>
    </w:p>
    <w:p>
      <w:pPr>
        <w:ind w:left="980" w:right="80" w:hanging="324"/>
        <w:spacing w:after="0" w:line="308" w:lineRule="auto"/>
        <w:tabs>
          <w:tab w:leader="none" w:pos="944"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average of 15,200 barrels per day (total of 6.5 million barrels) of crude oil grade spread positions through December 2015. These derivatives allow us to lock in grade basis differentials. Our use of these derivatives does not expose us to outright price risk.</w:t>
      </w:r>
    </w:p>
    <w:p>
      <w:pPr>
        <w:spacing w:after="0" w:line="146" w:lineRule="exact"/>
        <w:rPr>
          <w:rFonts w:ascii="Arial" w:cs="Arial" w:eastAsia="Arial" w:hAnsi="Arial"/>
          <w:sz w:val="17"/>
          <w:szCs w:val="17"/>
          <w:color w:val="auto"/>
        </w:rPr>
      </w:pPr>
    </w:p>
    <w:p>
      <w:pPr>
        <w:ind w:left="980" w:right="100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net short position of approximately 25.1 Bcf through April 2016 related to anticipated sales of natural gas inventory and base gas requirements.</w:t>
      </w:r>
    </w:p>
    <w:p>
      <w:pPr>
        <w:spacing w:after="0" w:line="170" w:lineRule="exact"/>
        <w:rPr>
          <w:rFonts w:ascii="Arial" w:cs="Arial" w:eastAsia="Arial" w:hAnsi="Arial"/>
          <w:sz w:val="18"/>
          <w:szCs w:val="18"/>
          <w:color w:val="auto"/>
        </w:rPr>
      </w:pPr>
    </w:p>
    <w:p>
      <w:pPr>
        <w:ind w:left="980" w:right="38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net short position of approximately 12.1 million barrels through December 2015 related to the anticipated sales of our crude oil, NGL and refined products inventory.</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offset losses due to evaporation, measurement and other losses in transit. We utilize derivative instruments to hedge a portion of the anticipated sales of the allowance oil that is to be collected under our tariffs. As of September 30, 2014, our PLA hedges included a net short position for an average of approximately 1,400 barrels per day (total of 1.1 million barrels) through December 2016 and a long call position of approximately 0.6 million barrels through December 2016.</w:t>
      </w:r>
    </w:p>
    <w:p>
      <w:pPr>
        <w:spacing w:after="0" w:line="188"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As part of our supply and logistics activities, we purchase natural gas for processing and NGL mix</w:t>
      </w:r>
      <w:r>
        <w:rPr>
          <w:rFonts w:ascii="Arial" w:cs="Arial" w:eastAsia="Arial" w:hAnsi="Arial"/>
          <w:sz w:val="16"/>
          <w:szCs w:val="16"/>
          <w:i w:val="1"/>
          <w:iCs w:val="1"/>
          <w:color w:val="auto"/>
        </w:rPr>
        <w:t xml:space="preserve"> </w:t>
      </w:r>
      <w:r>
        <w:rPr>
          <w:rFonts w:ascii="Arial" w:cs="Arial" w:eastAsia="Arial" w:hAnsi="Arial"/>
          <w:sz w:val="16"/>
          <w:szCs w:val="16"/>
          <w:color w:val="auto"/>
        </w:rPr>
        <w:t>for fractionation, and we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September 30, 2014, we had a long natural gas position of approximately 33.3 Bcf through December 2016, a short propane position of approximately 5.4 million barrels through December 2016 and a short butane position of approximately 1.6 million barrels through December 2016.</w:t>
      </w:r>
    </w:p>
    <w:p>
      <w:pPr>
        <w:spacing w:after="0" w:line="15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To the extent they qualify and we decide to make the election, all of our commodity derivatives where we elect hedge accounting are designated as cash flow hedges. We have determined that substantially all of our physical purchase and sale agreements qualify for the normal purchase normal sale scope exception. Physical commodity contracts that meet the definition of a derivative but are ineligible, or not designated, for the normal purchase normal sale scope exception are recorded on the balance sheet at fair value, with changes in fair value recognized in earnings.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use interest rate derivatives to hedge interest rate risk associated with anticipated debt issuances and outstanding debt instruments. The derivative instruments we use to manage this risk consist primarily of interest rate swaps and treasury locks. As of September 30, 2014, AOCI includes deferred losses of $108 million that relate to open and terminated interest rate derivatives that were designated for hedge accounting.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173"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PAA has entered into forward starting interest rate swaps to hedge the underlying benchmark interest rate related to forecasted debt issuances through 2015. The following table summarizes the terms of these forward starting interest rate swaps as of September 30, 2014 (notional amounts in millions):</w:t>
      </w:r>
    </w:p>
    <w:p>
      <w:pPr>
        <w:sectPr>
          <w:pgSz w:w="11900" w:h="16850" w:orient="portrait"/>
          <w:cols w:equalWidth="0" w:num="1">
            <w:col w:w="11420"/>
          </w:cols>
          <w:pgMar w:left="240" w:top="125" w:right="239" w:bottom="0" w:gutter="0" w:footer="0" w:header="0"/>
        </w:sectPr>
      </w:pPr>
    </w:p>
    <w:bookmarkStart w:id="13" w:name="page14"/>
    <w:bookmarkEnd w:id="1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200" w:type="dxa"/>
            <w:vAlign w:val="bottom"/>
          </w:tcPr>
          <w:p>
            <w:pPr>
              <w:spacing w:after="0"/>
              <w:rPr>
                <w:sz w:val="14"/>
                <w:szCs w:val="14"/>
                <w:color w:val="auto"/>
              </w:rPr>
            </w:pPr>
          </w:p>
        </w:tc>
        <w:tc>
          <w:tcPr>
            <w:tcW w:w="3100" w:type="dxa"/>
            <w:vAlign w:val="bottom"/>
          </w:tcPr>
          <w:p>
            <w:pPr>
              <w:ind w:left="880"/>
              <w:spacing w:after="0"/>
              <w:rPr>
                <w:sz w:val="20"/>
                <w:szCs w:val="20"/>
                <w:color w:val="auto"/>
              </w:rPr>
            </w:pPr>
            <w:r>
              <w:rPr>
                <w:rFonts w:ascii="Arial" w:cs="Arial" w:eastAsia="Arial" w:hAnsi="Arial"/>
                <w:sz w:val="14"/>
                <w:szCs w:val="14"/>
                <w:b w:val="1"/>
                <w:bCs w:val="1"/>
                <w:color w:val="auto"/>
              </w:rPr>
              <w:t>Number and Types of</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Expected</w:t>
            </w: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Average Rate</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71"/>
        </w:trPr>
        <w:tc>
          <w:tcPr>
            <w:tcW w:w="2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tcPr>
          <w:p>
            <w:pPr>
              <w:ind w:left="860"/>
              <w:spacing w:after="0"/>
              <w:rPr>
                <w:sz w:val="20"/>
                <w:szCs w:val="20"/>
                <w:color w:val="auto"/>
              </w:rPr>
            </w:pPr>
            <w:r>
              <w:rPr>
                <w:rFonts w:ascii="Arial" w:cs="Arial" w:eastAsia="Arial" w:hAnsi="Arial"/>
                <w:sz w:val="14"/>
                <w:szCs w:val="14"/>
                <w:b w:val="1"/>
                <w:bCs w:val="1"/>
                <w:color w:val="auto"/>
              </w:rPr>
              <w:t>Derivatives Employed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Termination Date</w:t>
            </w: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Locked</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Treatment</w:t>
            </w:r>
          </w:p>
        </w:tc>
        <w:tc>
          <w:tcPr>
            <w:tcW w:w="0" w:type="dxa"/>
            <w:vAlign w:val="bottom"/>
          </w:tcPr>
          <w:p>
            <w:pPr>
              <w:spacing w:after="0"/>
              <w:rPr>
                <w:sz w:val="1"/>
                <w:szCs w:val="1"/>
                <w:color w:val="auto"/>
              </w:rPr>
            </w:pPr>
          </w:p>
        </w:tc>
      </w:tr>
      <w:tr>
        <w:trPr>
          <w:trHeight w:val="210"/>
        </w:trPr>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Anticipated debt offering</w:t>
            </w:r>
          </w:p>
        </w:tc>
        <w:tc>
          <w:tcPr>
            <w:tcW w:w="20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 forward starting swaps (30-year)</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6/15/2015</w:t>
            </w: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3.60%</w:t>
            </w: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anticipation of PAA’s April 2014 issuance of senior notes, PAA entered into an aggregate of five treasury lock agreements in March and April 2014 for a combined notional amount of $250 million at a locked in rate of 3.62%. The treasury locks were designated as cash flow hedges, thus changes in fair value are deferred in AOCI. In connection with PAA’s April 2014 senior notes issuance, these treasury locks were terminated prior to maturity for an aggregate cash payment of $7 million. The effective portion of the treasury locks was deferred in AOCI and will be amortized to interest expense over the life of the senior notes.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and forwards.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of September 30, 2014, our outstanding foreign currency derivatives include derivatives we use to (i) hedge currency exchange risk associated with USD-denominated commodity purchases and sales in Canada and (ii) hedge currency exchange risk created by the use of USD-denominated commodity derivatives to hedge commodity price risk associated with CAD-denominated commodity purchases and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September 30, 2014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4"/>
                <w:szCs w:val="14"/>
                <w:b w:val="1"/>
                <w:bCs w:val="1"/>
                <w:color w:val="auto"/>
              </w:rPr>
              <w:t>USD</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CAD</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top w:val="single" w:sz="8" w:color="CCEEFF"/>
            </w:tcBorders>
            <w:shd w:val="clear" w:color="auto" w:fill="CCEEFF"/>
          </w:tcPr>
          <w:p>
            <w:pPr>
              <w:jc w:val="right"/>
              <w:ind w:right="1730"/>
              <w:spacing w:after="0" w:line="196" w:lineRule="exact"/>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1020" w:type="dxa"/>
            <w:vAlign w:val="bottom"/>
            <w:gridSpan w:val="2"/>
          </w:tcPr>
          <w:p>
            <w:pPr>
              <w:jc w:val="right"/>
              <w:ind w:right="62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284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319</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$1.00 - $1.12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6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220" w:type="dxa"/>
            <w:vAlign w:val="bottom"/>
            <w:tcBorders>
              <w:bottom w:val="single" w:sz="8" w:color="CCEEFF"/>
            </w:tcBorders>
          </w:tcPr>
          <w:p>
            <w:pPr>
              <w:spacing w:after="0"/>
              <w:rPr>
                <w:sz w:val="21"/>
                <w:szCs w:val="21"/>
                <w:color w:val="auto"/>
              </w:rPr>
            </w:pPr>
          </w:p>
        </w:tc>
        <w:tc>
          <w:tcPr>
            <w:tcW w:w="2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$1.00 - $1.12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jc w:val="right"/>
              <w:ind w:right="173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2014</w:t>
            </w:r>
          </w:p>
        </w:tc>
        <w:tc>
          <w:tcPr>
            <w:tcW w:w="1020" w:type="dxa"/>
            <w:vAlign w:val="bottom"/>
            <w:gridSpan w:val="2"/>
            <w:shd w:val="clear" w:color="auto" w:fill="CCEEFF"/>
          </w:tcPr>
          <w:p>
            <w:pPr>
              <w:jc w:val="right"/>
              <w:ind w:right="626"/>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jc w:val="right"/>
              <w:ind w:right="17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$1.00 - $1.09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$1.00 - $1.10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8"/>
          <w:szCs w:val="18"/>
          <w:b w:val="1"/>
          <w:bCs w:val="1"/>
          <w:i w:val="1"/>
          <w:iCs w:val="1"/>
          <w:color w:val="auto"/>
        </w:rPr>
        <w:t>ummary of Financial Impact</w:t>
      </w:r>
    </w:p>
    <w:p>
      <w:pPr>
        <w:spacing w:after="0" w:line="22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cash flows from operating activities in our condensed consolidated statements of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 summary of the impact of our derivative activities recognized in earnings for the three and nine months ended September 30, 2014 and 2013 is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2"/>
              </w:rPr>
              <w:t>Three Months Ended September 30, 2014</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Three Months Ended September 30, 2013</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gridSpan w:val="4"/>
          </w:tcPr>
          <w:p>
            <w:pPr>
              <w:jc w:val="center"/>
              <w:ind w:right="39"/>
              <w:spacing w:after="0" w:line="119" w:lineRule="exact"/>
              <w:rPr>
                <w:sz w:val="20"/>
                <w:szCs w:val="20"/>
                <w:color w:val="auto"/>
              </w:rPr>
            </w:pPr>
            <w:r>
              <w:rPr>
                <w:rFonts w:ascii="Arial" w:cs="Arial" w:eastAsia="Arial" w:hAnsi="Arial"/>
                <w:sz w:val="13"/>
                <w:szCs w:val="13"/>
                <w:b w:val="1"/>
                <w:bCs w:val="1"/>
                <w:color w:val="auto"/>
                <w:w w:val="99"/>
              </w:rPr>
              <w:t>Derivatives in Hedging</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gridSpan w:val="6"/>
          </w:tcPr>
          <w:p>
            <w:pPr>
              <w:jc w:val="center"/>
              <w:ind w:right="440"/>
              <w:spacing w:after="0" w:line="119" w:lineRule="exact"/>
              <w:rPr>
                <w:sz w:val="20"/>
                <w:szCs w:val="20"/>
                <w:color w:val="auto"/>
              </w:rPr>
            </w:pPr>
            <w:r>
              <w:rPr>
                <w:rFonts w:ascii="Arial" w:cs="Arial" w:eastAsia="Arial" w:hAnsi="Arial"/>
                <w:sz w:val="13"/>
                <w:szCs w:val="13"/>
                <w:b w:val="1"/>
                <w:bCs w:val="1"/>
                <w:color w:val="auto"/>
              </w:rPr>
              <w:t>Derivatives in Hedging</w:t>
            </w: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ind w:right="39"/>
              <w:spacing w:after="0"/>
              <w:rPr>
                <w:sz w:val="20"/>
                <w:szCs w:val="20"/>
                <w:color w:val="auto"/>
              </w:rPr>
            </w:pPr>
            <w:r>
              <w:rPr>
                <w:rFonts w:ascii="Arial" w:cs="Arial" w:eastAsia="Arial" w:hAnsi="Arial"/>
                <w:sz w:val="14"/>
                <w:szCs w:val="14"/>
                <w:b w:val="1"/>
                <w:bCs w:val="1"/>
                <w:color w:val="auto"/>
                <w:w w:val="91"/>
              </w:rPr>
              <w:t>Relationships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Derivatives</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right="19"/>
              <w:spacing w:after="0"/>
              <w:rPr>
                <w:sz w:val="20"/>
                <w:szCs w:val="20"/>
                <w:color w:val="auto"/>
              </w:rPr>
            </w:pPr>
            <w:r>
              <w:rPr>
                <w:rFonts w:ascii="Arial" w:cs="Arial" w:eastAsia="Arial" w:hAnsi="Arial"/>
                <w:sz w:val="14"/>
                <w:szCs w:val="14"/>
                <w:b w:val="1"/>
                <w:bCs w:val="1"/>
                <w:color w:val="auto"/>
                <w:w w:val="89"/>
              </w:rPr>
              <w:t>Relationships</w:t>
            </w:r>
          </w:p>
        </w:tc>
        <w:tc>
          <w:tcPr>
            <w:tcW w:w="340" w:type="dxa"/>
            <w:vAlign w:val="bottom"/>
            <w:gridSpan w:val="2"/>
          </w:tcPr>
          <w:p>
            <w:pPr>
              <w:spacing w:after="0"/>
              <w:rPr>
                <w:sz w:val="14"/>
                <w:szCs w:val="14"/>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Derivatives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68"/>
              <w:spacing w:after="0" w:line="119" w:lineRule="exact"/>
              <w:rPr>
                <w:sz w:val="20"/>
                <w:szCs w:val="20"/>
                <w:color w:val="auto"/>
              </w:rPr>
            </w:pPr>
            <w:r>
              <w:rPr>
                <w:rFonts w:ascii="Arial" w:cs="Arial" w:eastAsia="Arial" w:hAnsi="Arial"/>
                <w:sz w:val="13"/>
                <w:szCs w:val="13"/>
                <w:b w:val="1"/>
                <w:bCs w:val="1"/>
                <w:color w:val="auto"/>
                <w:w w:val="98"/>
              </w:rPr>
              <w:t>Gain/(loss)</w:t>
            </w:r>
          </w:p>
        </w:tc>
        <w:tc>
          <w:tcPr>
            <w:tcW w:w="100" w:type="dxa"/>
            <w:vAlign w:val="bottom"/>
          </w:tcPr>
          <w:p>
            <w:pPr>
              <w:spacing w:after="0"/>
              <w:rPr>
                <w:sz w:val="10"/>
                <w:szCs w:val="10"/>
                <w:color w:val="auto"/>
              </w:rPr>
            </w:pPr>
          </w:p>
        </w:tc>
        <w:tc>
          <w:tcPr>
            <w:tcW w:w="82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Gain/(loss)</w:t>
            </w:r>
          </w:p>
        </w:tc>
        <w:tc>
          <w:tcPr>
            <w:tcW w:w="100" w:type="dxa"/>
            <w:vAlign w:val="bottom"/>
          </w:tcPr>
          <w:p>
            <w:pPr>
              <w:spacing w:after="0"/>
              <w:rPr>
                <w:sz w:val="10"/>
                <w:szCs w:val="10"/>
                <w:color w:val="auto"/>
              </w:rPr>
            </w:pPr>
          </w:p>
        </w:tc>
        <w:tc>
          <w:tcPr>
            <w:tcW w:w="112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6"/>
              </w:rPr>
              <w:t>Other</w:t>
            </w:r>
          </w:p>
        </w:tc>
        <w:tc>
          <w:tcPr>
            <w:tcW w:w="10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8"/>
              <w:spacing w:after="0" w:line="149" w:lineRule="exact"/>
              <w:rPr>
                <w:sz w:val="20"/>
                <w:szCs w:val="20"/>
                <w:color w:val="auto"/>
              </w:rPr>
            </w:pPr>
            <w:r>
              <w:rPr>
                <w:rFonts w:ascii="Arial" w:cs="Arial" w:eastAsia="Arial" w:hAnsi="Arial"/>
                <w:sz w:val="14"/>
                <w:szCs w:val="14"/>
                <w:b w:val="1"/>
                <w:bCs w:val="1"/>
                <w:color w:val="auto"/>
                <w:w w:val="90"/>
              </w:rPr>
              <w:t>reclassified</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Not</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reclassified</w:t>
            </w: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Not</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8"/>
              <w:spacing w:after="0" w:line="149" w:lineRule="exact"/>
              <w:rPr>
                <w:sz w:val="20"/>
                <w:szCs w:val="20"/>
                <w:color w:val="auto"/>
              </w:rPr>
            </w:pPr>
            <w:r>
              <w:rPr>
                <w:rFonts w:ascii="Arial" w:cs="Arial" w:eastAsia="Arial" w:hAnsi="Arial"/>
                <w:sz w:val="14"/>
                <w:szCs w:val="14"/>
                <w:b w:val="1"/>
                <w:bCs w:val="1"/>
                <w:color w:val="auto"/>
                <w:w w:val="96"/>
              </w:rPr>
              <w:t>from</w:t>
            </w:r>
          </w:p>
        </w:tc>
        <w:tc>
          <w:tcPr>
            <w:tcW w:w="100" w:type="dxa"/>
            <w:vAlign w:val="bottom"/>
          </w:tcPr>
          <w:p>
            <w:pPr>
              <w:spacing w:after="0"/>
              <w:rPr>
                <w:sz w:val="12"/>
                <w:szCs w:val="12"/>
                <w:color w:val="auto"/>
              </w:rPr>
            </w:pPr>
          </w:p>
        </w:tc>
        <w:tc>
          <w:tcPr>
            <w:tcW w:w="8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gain/(loss)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Designated</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from</w:t>
            </w:r>
          </w:p>
        </w:tc>
        <w:tc>
          <w:tcPr>
            <w:tcW w:w="100" w:type="dxa"/>
            <w:vAlign w:val="bottom"/>
          </w:tcPr>
          <w:p>
            <w:pPr>
              <w:spacing w:after="0"/>
              <w:rPr>
                <w:sz w:val="12"/>
                <w:szCs w:val="12"/>
                <w:color w:val="auto"/>
              </w:rPr>
            </w:pPr>
          </w:p>
        </w:tc>
        <w:tc>
          <w:tcPr>
            <w:tcW w:w="11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gain/(loss)</w:t>
            </w: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Designated</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00" w:type="dxa"/>
            <w:vAlign w:val="bottom"/>
          </w:tcPr>
          <w:p>
            <w:pPr>
              <w:spacing w:after="0"/>
              <w:rPr>
                <w:sz w:val="12"/>
                <w:szCs w:val="12"/>
                <w:color w:val="auto"/>
              </w:rPr>
            </w:pPr>
          </w:p>
        </w:tc>
        <w:tc>
          <w:tcPr>
            <w:tcW w:w="1040" w:type="dxa"/>
            <w:vAlign w:val="bottom"/>
            <w:gridSpan w:val="2"/>
          </w:tcPr>
          <w:p>
            <w:pPr>
              <w:jc w:val="center"/>
              <w:ind w:right="268"/>
              <w:spacing w:after="0" w:line="149" w:lineRule="exact"/>
              <w:rPr>
                <w:sz w:val="20"/>
                <w:szCs w:val="20"/>
                <w:color w:val="auto"/>
              </w:rPr>
            </w:pPr>
            <w:r>
              <w:rPr>
                <w:rFonts w:ascii="Arial" w:cs="Arial" w:eastAsia="Arial" w:hAnsi="Arial"/>
                <w:sz w:val="14"/>
                <w:szCs w:val="14"/>
                <w:b w:val="1"/>
                <w:bCs w:val="1"/>
                <w:color w:val="auto"/>
              </w:rPr>
              <w:t>AOCI into</w:t>
            </w:r>
          </w:p>
        </w:tc>
        <w:tc>
          <w:tcPr>
            <w:tcW w:w="100" w:type="dxa"/>
            <w:vAlign w:val="bottom"/>
          </w:tcPr>
          <w:p>
            <w:pPr>
              <w:spacing w:after="0"/>
              <w:rPr>
                <w:sz w:val="12"/>
                <w:szCs w:val="12"/>
                <w:color w:val="auto"/>
              </w:rPr>
            </w:pPr>
          </w:p>
        </w:tc>
        <w:tc>
          <w:tcPr>
            <w:tcW w:w="8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recognized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as a</w:t>
            </w:r>
          </w:p>
        </w:tc>
        <w:tc>
          <w:tcPr>
            <w:tcW w:w="160" w:type="dxa"/>
            <w:vAlign w:val="bottom"/>
          </w:tcPr>
          <w:p>
            <w:pPr>
              <w:spacing w:after="0"/>
              <w:rPr>
                <w:sz w:val="12"/>
                <w:szCs w:val="12"/>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AOCI into</w:t>
            </w:r>
          </w:p>
        </w:tc>
        <w:tc>
          <w:tcPr>
            <w:tcW w:w="100" w:type="dxa"/>
            <w:vAlign w:val="bottom"/>
          </w:tcPr>
          <w:p>
            <w:pPr>
              <w:spacing w:after="0"/>
              <w:rPr>
                <w:sz w:val="12"/>
                <w:szCs w:val="12"/>
                <w:color w:val="auto"/>
              </w:rPr>
            </w:pPr>
          </w:p>
        </w:tc>
        <w:tc>
          <w:tcPr>
            <w:tcW w:w="11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as a</w:t>
            </w:r>
          </w:p>
        </w:tc>
        <w:tc>
          <w:tcPr>
            <w:tcW w:w="180" w:type="dxa"/>
            <w:vAlign w:val="bottom"/>
          </w:tcPr>
          <w:p>
            <w:pPr>
              <w:spacing w:after="0"/>
              <w:rPr>
                <w:sz w:val="12"/>
                <w:szCs w:val="12"/>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2"/>
              </w:rPr>
              <w:t xml:space="preserve">income </w:t>
            </w:r>
            <w:r>
              <w:rPr>
                <w:rFonts w:ascii="Arial" w:cs="Arial" w:eastAsia="Arial" w:hAnsi="Arial"/>
                <w:sz w:val="8"/>
                <w:szCs w:val="8"/>
                <w:b w:val="1"/>
                <w:bCs w:val="1"/>
                <w:color w:val="auto"/>
                <w:w w:val="92"/>
              </w:rPr>
              <w:t>(1)</w:t>
            </w:r>
          </w:p>
        </w:tc>
        <w:tc>
          <w:tcPr>
            <w:tcW w:w="100" w:type="dxa"/>
            <w:vAlign w:val="bottom"/>
          </w:tcPr>
          <w:p>
            <w:pPr>
              <w:spacing w:after="0"/>
              <w:rPr>
                <w:sz w:val="14"/>
                <w:szCs w:val="14"/>
                <w:color w:val="auto"/>
              </w:rPr>
            </w:pPr>
          </w:p>
        </w:tc>
        <w:tc>
          <w:tcPr>
            <w:tcW w:w="82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in income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Hedge</w:t>
            </w: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xml:space="preserve">income </w:t>
            </w:r>
            <w:r>
              <w:rPr>
                <w:rFonts w:ascii="Arial" w:cs="Arial" w:eastAsia="Arial" w:hAnsi="Arial"/>
                <w:sz w:val="8"/>
                <w:szCs w:val="8"/>
                <w:b w:val="1"/>
                <w:bCs w:val="1"/>
                <w:color w:val="auto"/>
                <w:w w:val="92"/>
              </w:rPr>
              <w:t>(1)</w:t>
            </w:r>
          </w:p>
        </w:tc>
        <w:tc>
          <w:tcPr>
            <w:tcW w:w="100" w:type="dxa"/>
            <w:vAlign w:val="bottom"/>
          </w:tcPr>
          <w:p>
            <w:pPr>
              <w:spacing w:after="0"/>
              <w:rPr>
                <w:sz w:val="14"/>
                <w:szCs w:val="14"/>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in income</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Hedge</w:t>
            </w: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Supply and Logistics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segment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Facilities segment revenues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Foreign Currency</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20" w:right="239" w:bottom="0" w:gutter="0" w:footer="0" w:header="0"/>
        </w:sectPr>
      </w:pPr>
    </w:p>
    <w:bookmarkStart w:id="14" w:name="page15"/>
    <w:bookmarkEnd w:id="1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Derivatives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Supply and Logistics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segment revenues</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0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Gain/(Loss) on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Derivatives Recognized in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vMerge w:val="restart"/>
            <w:shd w:val="clear" w:color="auto" w:fill="CCEEFF"/>
          </w:tcPr>
          <w:p>
            <w:pPr>
              <w:jc w:val="right"/>
              <w:ind w:right="88"/>
              <w:spacing w:after="0"/>
              <w:rPr>
                <w:sz w:val="20"/>
                <w:szCs w:val="20"/>
                <w:color w:val="auto"/>
              </w:rPr>
            </w:pPr>
            <w:r>
              <w:rPr>
                <w:rFonts w:ascii="Arial" w:cs="Arial" w:eastAsia="Arial" w:hAnsi="Arial"/>
                <w:sz w:val="18"/>
                <w:szCs w:val="18"/>
                <w:color w:val="auto"/>
              </w:rPr>
              <w:t>(5)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3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2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Net Income</w:t>
            </w:r>
          </w:p>
        </w:tc>
        <w:tc>
          <w:tcPr>
            <w:tcW w:w="10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80" w:type="dxa"/>
            <w:vAlign w:val="bottom"/>
            <w:tcBorders>
              <w:right w:val="single" w:sz="8" w:color="auto"/>
            </w:tcBorders>
            <w:gridSpan w:val="3"/>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200" w:type="dxa"/>
            <w:vAlign w:val="bottom"/>
            <w:gridSpan w:val="3"/>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42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93"/>
              </w:rPr>
              <w:t>Nine Months Ended September 30, 2014</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4"/>
                <w:szCs w:val="14"/>
                <w:b w:val="1"/>
                <w:bCs w:val="1"/>
                <w:color w:val="auto"/>
              </w:rPr>
              <w:t>Nine Months Ended September 30, 2013</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gridSpan w:val="4"/>
          </w:tcPr>
          <w:p>
            <w:pPr>
              <w:jc w:val="center"/>
              <w:ind w:right="35"/>
              <w:spacing w:after="0" w:line="119" w:lineRule="exact"/>
              <w:rPr>
                <w:sz w:val="20"/>
                <w:szCs w:val="20"/>
                <w:color w:val="auto"/>
              </w:rPr>
            </w:pPr>
            <w:r>
              <w:rPr>
                <w:rFonts w:ascii="Arial" w:cs="Arial" w:eastAsia="Arial" w:hAnsi="Arial"/>
                <w:sz w:val="13"/>
                <w:szCs w:val="13"/>
                <w:b w:val="1"/>
                <w:bCs w:val="1"/>
                <w:color w:val="auto"/>
                <w:w w:val="99"/>
              </w:rPr>
              <w:t>Derivatives in Hedging</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gridSpan w:val="5"/>
          </w:tcPr>
          <w:p>
            <w:pPr>
              <w:jc w:val="center"/>
              <w:ind w:right="320"/>
              <w:spacing w:after="0" w:line="119" w:lineRule="exact"/>
              <w:rPr>
                <w:sz w:val="20"/>
                <w:szCs w:val="20"/>
                <w:color w:val="auto"/>
              </w:rPr>
            </w:pPr>
            <w:r>
              <w:rPr>
                <w:rFonts w:ascii="Arial" w:cs="Arial" w:eastAsia="Arial" w:hAnsi="Arial"/>
                <w:sz w:val="13"/>
                <w:szCs w:val="13"/>
                <w:b w:val="1"/>
                <w:bCs w:val="1"/>
                <w:color w:val="auto"/>
              </w:rPr>
              <w:t>Derivatives in Hedging</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ind w:right="35"/>
              <w:spacing w:after="0"/>
              <w:rPr>
                <w:sz w:val="20"/>
                <w:szCs w:val="20"/>
                <w:color w:val="auto"/>
              </w:rPr>
            </w:pPr>
            <w:r>
              <w:rPr>
                <w:rFonts w:ascii="Arial" w:cs="Arial" w:eastAsia="Arial" w:hAnsi="Arial"/>
                <w:sz w:val="14"/>
                <w:szCs w:val="14"/>
                <w:b w:val="1"/>
                <w:bCs w:val="1"/>
                <w:color w:val="auto"/>
                <w:w w:val="91"/>
              </w:rPr>
              <w:t>Relationships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Derivatives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right="15"/>
              <w:spacing w:after="0"/>
              <w:rPr>
                <w:sz w:val="20"/>
                <w:szCs w:val="20"/>
                <w:color w:val="auto"/>
              </w:rPr>
            </w:pPr>
            <w:r>
              <w:rPr>
                <w:rFonts w:ascii="Arial" w:cs="Arial" w:eastAsia="Arial" w:hAnsi="Arial"/>
                <w:sz w:val="14"/>
                <w:szCs w:val="14"/>
                <w:b w:val="1"/>
                <w:bCs w:val="1"/>
                <w:color w:val="auto"/>
                <w:w w:val="89"/>
              </w:rPr>
              <w:t>Relationships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Derivatives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68"/>
              <w:spacing w:after="0" w:line="119" w:lineRule="exact"/>
              <w:rPr>
                <w:sz w:val="20"/>
                <w:szCs w:val="20"/>
                <w:color w:val="auto"/>
              </w:rPr>
            </w:pPr>
            <w:r>
              <w:rPr>
                <w:rFonts w:ascii="Arial" w:cs="Arial" w:eastAsia="Arial" w:hAnsi="Arial"/>
                <w:sz w:val="13"/>
                <w:szCs w:val="13"/>
                <w:b w:val="1"/>
                <w:bCs w:val="1"/>
                <w:color w:val="auto"/>
                <w:w w:val="98"/>
              </w:rPr>
              <w:t>Gain/(loss)</w:t>
            </w:r>
          </w:p>
        </w:tc>
        <w:tc>
          <w:tcPr>
            <w:tcW w:w="100" w:type="dxa"/>
            <w:vAlign w:val="bottom"/>
          </w:tcPr>
          <w:p>
            <w:pPr>
              <w:spacing w:after="0"/>
              <w:rPr>
                <w:sz w:val="10"/>
                <w:szCs w:val="10"/>
                <w:color w:val="auto"/>
              </w:rPr>
            </w:pPr>
          </w:p>
        </w:tc>
        <w:tc>
          <w:tcPr>
            <w:tcW w:w="82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Gain/(loss)</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8"/>
              <w:spacing w:after="0" w:line="149" w:lineRule="exact"/>
              <w:rPr>
                <w:sz w:val="20"/>
                <w:szCs w:val="20"/>
                <w:color w:val="auto"/>
              </w:rPr>
            </w:pPr>
            <w:r>
              <w:rPr>
                <w:rFonts w:ascii="Arial" w:cs="Arial" w:eastAsia="Arial" w:hAnsi="Arial"/>
                <w:sz w:val="14"/>
                <w:szCs w:val="14"/>
                <w:b w:val="1"/>
                <w:bCs w:val="1"/>
                <w:color w:val="auto"/>
                <w:w w:val="90"/>
              </w:rPr>
              <w:t>reclassified</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Not</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reclassified</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Not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8"/>
              <w:spacing w:after="0" w:line="149" w:lineRule="exact"/>
              <w:rPr>
                <w:sz w:val="20"/>
                <w:szCs w:val="20"/>
                <w:color w:val="auto"/>
              </w:rPr>
            </w:pPr>
            <w:r>
              <w:rPr>
                <w:rFonts w:ascii="Arial" w:cs="Arial" w:eastAsia="Arial" w:hAnsi="Arial"/>
                <w:sz w:val="14"/>
                <w:szCs w:val="14"/>
                <w:b w:val="1"/>
                <w:bCs w:val="1"/>
                <w:color w:val="auto"/>
                <w:w w:val="96"/>
              </w:rPr>
              <w:t>from</w:t>
            </w:r>
          </w:p>
        </w:tc>
        <w:tc>
          <w:tcPr>
            <w:tcW w:w="100" w:type="dxa"/>
            <w:vAlign w:val="bottom"/>
          </w:tcPr>
          <w:p>
            <w:pPr>
              <w:spacing w:after="0"/>
              <w:rPr>
                <w:sz w:val="12"/>
                <w:szCs w:val="12"/>
                <w:color w:val="auto"/>
              </w:rPr>
            </w:pPr>
          </w:p>
        </w:tc>
        <w:tc>
          <w:tcPr>
            <w:tcW w:w="8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1"/>
              </w:rPr>
              <w:t>gain/(loss)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Designated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from</w:t>
            </w: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gain/(loss)</w:t>
            </w:r>
          </w:p>
        </w:tc>
        <w:tc>
          <w:tcPr>
            <w:tcW w:w="120" w:type="dxa"/>
            <w:vAlign w:val="bottom"/>
          </w:tcPr>
          <w:p>
            <w:pPr>
              <w:spacing w:after="0"/>
              <w:rPr>
                <w:sz w:val="12"/>
                <w:szCs w:val="12"/>
                <w:color w:val="auto"/>
              </w:rPr>
            </w:pPr>
          </w:p>
        </w:tc>
        <w:tc>
          <w:tcPr>
            <w:tcW w:w="1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Designated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00" w:type="dxa"/>
            <w:vAlign w:val="bottom"/>
          </w:tcPr>
          <w:p>
            <w:pPr>
              <w:spacing w:after="0"/>
              <w:rPr>
                <w:sz w:val="12"/>
                <w:szCs w:val="12"/>
                <w:color w:val="auto"/>
              </w:rPr>
            </w:pPr>
          </w:p>
        </w:tc>
        <w:tc>
          <w:tcPr>
            <w:tcW w:w="1040" w:type="dxa"/>
            <w:vAlign w:val="bottom"/>
            <w:gridSpan w:val="2"/>
          </w:tcPr>
          <w:p>
            <w:pPr>
              <w:jc w:val="center"/>
              <w:ind w:right="268"/>
              <w:spacing w:after="0" w:line="149" w:lineRule="exact"/>
              <w:rPr>
                <w:sz w:val="20"/>
                <w:szCs w:val="20"/>
                <w:color w:val="auto"/>
              </w:rPr>
            </w:pPr>
            <w:r>
              <w:rPr>
                <w:rFonts w:ascii="Arial" w:cs="Arial" w:eastAsia="Arial" w:hAnsi="Arial"/>
                <w:sz w:val="14"/>
                <w:szCs w:val="14"/>
                <w:b w:val="1"/>
                <w:bCs w:val="1"/>
                <w:color w:val="auto"/>
              </w:rPr>
              <w:t>AOCI into</w:t>
            </w:r>
          </w:p>
        </w:tc>
        <w:tc>
          <w:tcPr>
            <w:tcW w:w="100" w:type="dxa"/>
            <w:vAlign w:val="bottom"/>
          </w:tcPr>
          <w:p>
            <w:pPr>
              <w:spacing w:after="0"/>
              <w:rPr>
                <w:sz w:val="12"/>
                <w:szCs w:val="12"/>
                <w:color w:val="auto"/>
              </w:rPr>
            </w:pPr>
          </w:p>
        </w:tc>
        <w:tc>
          <w:tcPr>
            <w:tcW w:w="8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9"/>
              </w:rPr>
              <w:t>recognized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as a</w:t>
            </w:r>
          </w:p>
        </w:tc>
        <w:tc>
          <w:tcPr>
            <w:tcW w:w="160" w:type="dxa"/>
            <w:vAlign w:val="bottom"/>
          </w:tcPr>
          <w:p>
            <w:pPr>
              <w:spacing w:after="0"/>
              <w:rPr>
                <w:sz w:val="12"/>
                <w:szCs w:val="12"/>
                <w:color w:val="auto"/>
              </w:rPr>
            </w:pPr>
          </w:p>
        </w:tc>
        <w:tc>
          <w:tcPr>
            <w:tcW w:w="8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AOCI into</w:t>
            </w: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1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as a</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2"/>
              </w:rPr>
              <w:t xml:space="preserve">income </w:t>
            </w:r>
            <w:r>
              <w:rPr>
                <w:rFonts w:ascii="Arial" w:cs="Arial" w:eastAsia="Arial" w:hAnsi="Arial"/>
                <w:sz w:val="8"/>
                <w:szCs w:val="8"/>
                <w:b w:val="1"/>
                <w:bCs w:val="1"/>
                <w:color w:val="auto"/>
                <w:w w:val="92"/>
              </w:rPr>
              <w:t>(1)</w:t>
            </w:r>
          </w:p>
        </w:tc>
        <w:tc>
          <w:tcPr>
            <w:tcW w:w="100" w:type="dxa"/>
            <w:vAlign w:val="bottom"/>
          </w:tcPr>
          <w:p>
            <w:pPr>
              <w:spacing w:after="0"/>
              <w:rPr>
                <w:sz w:val="14"/>
                <w:szCs w:val="14"/>
                <w:color w:val="auto"/>
              </w:rPr>
            </w:pPr>
          </w:p>
        </w:tc>
        <w:tc>
          <w:tcPr>
            <w:tcW w:w="82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in income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Hedge</w:t>
            </w:r>
          </w:p>
        </w:tc>
        <w:tc>
          <w:tcPr>
            <w:tcW w:w="1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xml:space="preserve">income </w:t>
            </w:r>
            <w:r>
              <w:rPr>
                <w:rFonts w:ascii="Arial" w:cs="Arial" w:eastAsia="Arial" w:hAnsi="Arial"/>
                <w:sz w:val="8"/>
                <w:szCs w:val="8"/>
                <w:b w:val="1"/>
                <w:bCs w:val="1"/>
                <w:color w:val="auto"/>
                <w:w w:val="92"/>
              </w:rPr>
              <w:t>(1)</w:t>
            </w: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income</w:t>
            </w:r>
          </w:p>
        </w:tc>
        <w:tc>
          <w:tcPr>
            <w:tcW w:w="12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Hedge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Supply and Logistics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segment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right w:val="single" w:sz="8" w:color="auto"/>
            </w:tcBorders>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Facilities segment revenues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right w:val="single" w:sz="8" w:color="auto"/>
            </w:tcBorders>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right w:val="single" w:sz="8" w:color="auto"/>
            </w:tcBorders>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0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Derivatives</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Supply and Logistics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segment revenues</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0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Gain/(Loss) on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Derivatives Recognized in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vMerge w:val="restart"/>
            <w:shd w:val="clear" w:color="auto" w:fill="CCEEFF"/>
          </w:tcPr>
          <w:p>
            <w:pPr>
              <w:jc w:val="right"/>
              <w:ind w:right="88"/>
              <w:spacing w:after="0"/>
              <w:rPr>
                <w:sz w:val="20"/>
                <w:szCs w:val="20"/>
                <w:color w:val="auto"/>
              </w:rPr>
            </w:pPr>
            <w:r>
              <w:rPr>
                <w:rFonts w:ascii="Arial" w:cs="Arial" w:eastAsia="Arial" w:hAnsi="Arial"/>
                <w:sz w:val="18"/>
                <w:szCs w:val="18"/>
                <w:color w:val="auto"/>
              </w:rPr>
              <w:t>(16)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3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124</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2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Net Income</w:t>
            </w:r>
          </w:p>
        </w:tc>
        <w:tc>
          <w:tcPr>
            <w:tcW w:w="10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80" w:type="dxa"/>
            <w:vAlign w:val="bottom"/>
            <w:tcBorders>
              <w:right w:val="single" w:sz="8" w:color="auto"/>
            </w:tcBorders>
            <w:gridSpan w:val="3"/>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200" w:type="dxa"/>
            <w:vAlign w:val="bottom"/>
            <w:gridSpan w:val="3"/>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-4761230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-4761230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 w:hanging="652"/>
        <w:spacing w:after="0"/>
        <w:tabs>
          <w:tab w:leader="none" w:pos="6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During the three and nine months ended September 30, 2014, all of our hedged transactions were probable of occurring. During the three months ended September 30, 2013 we reclassified losses of $2 million from AOCI to Facilities segment revenues as a result of anticipated hedged transactions that were probable of not occurring. During the nine months ended September 30, 2013, we reclassified gains of $3 million and losses of $1 million from AOCI to Supply and Logistics segment revenues and Facilities segment revenues, respectively, as a result of anticipated hedged transactions that were probable of not occurring.</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40" w:type="dxa"/>
            <w:vAlign w:val="bottom"/>
            <w:tcBorders>
              <w:bottom w:val="single" w:sz="8" w:color="auto"/>
            </w:tcBorders>
            <w:gridSpan w:val="2"/>
          </w:tcPr>
          <w:p>
            <w:pPr>
              <w:ind w:left="1240"/>
              <w:spacing w:after="0"/>
              <w:rPr>
                <w:sz w:val="20"/>
                <w:szCs w:val="20"/>
                <w:color w:val="auto"/>
              </w:rPr>
            </w:pPr>
            <w:r>
              <w:rPr>
                <w:rFonts w:ascii="Arial" w:cs="Arial" w:eastAsia="Arial" w:hAnsi="Arial"/>
                <w:sz w:val="14"/>
                <w:szCs w:val="14"/>
                <w:b w:val="1"/>
                <w:bCs w:val="1"/>
                <w:color w:val="auto"/>
              </w:rPr>
              <w:t>Asset Derivatives</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Borders>
              <w:bottom w:val="single" w:sz="8" w:color="auto"/>
            </w:tcBorders>
            <w:gridSpan w:val="2"/>
          </w:tcPr>
          <w:p>
            <w:pPr>
              <w:ind w:left="1140"/>
              <w:spacing w:after="0"/>
              <w:rPr>
                <w:sz w:val="20"/>
                <w:szCs w:val="20"/>
                <w:color w:val="auto"/>
              </w:rPr>
            </w:pPr>
            <w:r>
              <w:rPr>
                <w:rFonts w:ascii="Arial" w:cs="Arial" w:eastAsia="Arial" w:hAnsi="Arial"/>
                <w:sz w:val="14"/>
                <w:szCs w:val="14"/>
                <w:b w:val="1"/>
                <w:bCs w:val="1"/>
                <w:color w:val="auto"/>
              </w:rPr>
              <w:t>Liability Derivatives</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0"/>
                <w:szCs w:val="10"/>
                <w:color w:val="auto"/>
              </w:rPr>
            </w:pPr>
          </w:p>
        </w:tc>
        <w:tc>
          <w:tcPr>
            <w:tcW w:w="26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Location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Derivatives designated as hedging</w:t>
            </w:r>
          </w:p>
        </w:tc>
        <w:tc>
          <w:tcPr>
            <w:tcW w:w="46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3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4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Commodity derivatives</w:t>
            </w:r>
          </w:p>
        </w:tc>
        <w:tc>
          <w:tcPr>
            <w:tcW w:w="2900" w:type="dxa"/>
            <w:vAlign w:val="bottom"/>
            <w:gridSpan w:val="3"/>
          </w:tcPr>
          <w:p>
            <w:pPr>
              <w:ind w:left="460"/>
              <w:spacing w:after="0"/>
              <w:rPr>
                <w:sz w:val="20"/>
                <w:szCs w:val="20"/>
                <w:color w:val="auto"/>
              </w:rPr>
            </w:pPr>
            <w:r>
              <w:rPr>
                <w:rFonts w:ascii="Arial" w:cs="Arial" w:eastAsia="Arial" w:hAnsi="Arial"/>
                <w:sz w:val="18"/>
                <w:szCs w:val="18"/>
                <w:color w:val="auto"/>
              </w:rPr>
              <w:t>Other current assets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9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vMerge w:val="restart"/>
            <w:shd w:val="clear" w:color="auto" w:fill="CCEEFF"/>
          </w:tcPr>
          <w:p>
            <w:pPr>
              <w:ind w:left="160"/>
              <w:spacing w:after="0" w:line="201" w:lineRule="exact"/>
              <w:rPr>
                <w:sz w:val="20"/>
                <w:szCs w:val="20"/>
                <w:color w:val="auto"/>
              </w:rPr>
            </w:pPr>
            <w:r>
              <w:rPr>
                <w:rFonts w:ascii="Arial" w:cs="Arial" w:eastAsia="Arial" w:hAnsi="Arial"/>
                <w:sz w:val="18"/>
                <w:szCs w:val="18"/>
                <w:color w:val="auto"/>
              </w:rPr>
              <w:t>Total derivatives designated as hedging</w:t>
            </w:r>
          </w:p>
        </w:tc>
        <w:tc>
          <w:tcPr>
            <w:tcW w:w="46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vMerge w:val="continue"/>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instruments</w:t>
            </w:r>
          </w:p>
        </w:tc>
        <w:tc>
          <w:tcPr>
            <w:tcW w:w="4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tcBorders>
              <w:right w:val="single" w:sz="8" w:color="auto"/>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hedging</w:t>
            </w:r>
          </w:p>
        </w:tc>
        <w:tc>
          <w:tcPr>
            <w:tcW w:w="4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3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40" w:right="199" w:bottom="0" w:gutter="0" w:footer="0" w:header="0"/>
        </w:sectPr>
      </w:pPr>
    </w:p>
    <w:bookmarkStart w:id="15" w:name="page16"/>
    <w:bookmarkEnd w:id="15"/>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600" w:type="dxa"/>
            <w:vAlign w:val="bottom"/>
          </w:tcPr>
          <w:p>
            <w:pPr>
              <w:ind w:left="180"/>
              <w:spacing w:after="0"/>
              <w:rPr>
                <w:sz w:val="20"/>
                <w:szCs w:val="20"/>
                <w:color w:val="auto"/>
              </w:rPr>
            </w:pPr>
            <w:r>
              <w:rPr>
                <w:rFonts w:ascii="Arial" w:cs="Arial" w:eastAsia="Arial" w:hAnsi="Arial"/>
                <w:sz w:val="18"/>
                <w:szCs w:val="18"/>
                <w:b w:val="1"/>
                <w:bCs w:val="1"/>
                <w:color w:val="auto"/>
              </w:rPr>
              <w:t>instruments:</w:t>
            </w:r>
          </w:p>
        </w:tc>
        <w:tc>
          <w:tcPr>
            <w:tcW w:w="2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Commodity derivatives</w:t>
            </w:r>
          </w:p>
        </w:tc>
        <w:tc>
          <w:tcPr>
            <w:tcW w:w="290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right w:val="single" w:sz="8" w:color="auto"/>
            </w:tcBorders>
          </w:tcPr>
          <w:p>
            <w:pPr>
              <w:spacing w:after="0"/>
              <w:rPr>
                <w:sz w:val="18"/>
                <w:szCs w:val="18"/>
                <w:color w:val="auto"/>
              </w:rPr>
            </w:pPr>
          </w:p>
        </w:tc>
        <w:tc>
          <w:tcPr>
            <w:tcW w:w="200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2900" w:type="dxa"/>
            <w:vAlign w:val="bottom"/>
          </w:tcPr>
          <w:p>
            <w:pPr>
              <w:ind w:left="320"/>
              <w:spacing w:after="0"/>
              <w:rPr>
                <w:sz w:val="20"/>
                <w:szCs w:val="20"/>
                <w:color w:val="auto"/>
              </w:rPr>
            </w:pPr>
            <w:r>
              <w:rPr>
                <w:rFonts w:ascii="Arial" w:cs="Arial" w:eastAsia="Arial" w:hAnsi="Arial"/>
                <w:sz w:val="18"/>
                <w:szCs w:val="18"/>
                <w:color w:val="auto"/>
              </w:rPr>
              <w:t>Other long-term assets</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right w:val="single" w:sz="8" w:color="auto"/>
            </w:tcBorders>
          </w:tcPr>
          <w:p>
            <w:pPr>
              <w:spacing w:after="0"/>
              <w:rPr>
                <w:sz w:val="18"/>
                <w:szCs w:val="18"/>
                <w:color w:val="auto"/>
              </w:rPr>
            </w:pPr>
          </w:p>
        </w:tc>
        <w:tc>
          <w:tcPr>
            <w:tcW w:w="200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2900" w:type="dxa"/>
            <w:vAlign w:val="bottom"/>
          </w:tcPr>
          <w:p>
            <w:pPr>
              <w:ind w:left="320"/>
              <w:spacing w:after="0"/>
              <w:rPr>
                <w:sz w:val="20"/>
                <w:szCs w:val="20"/>
                <w:color w:val="auto"/>
              </w:rPr>
            </w:pPr>
            <w:r>
              <w:rPr>
                <w:rFonts w:ascii="Arial" w:cs="Arial" w:eastAsia="Arial" w:hAnsi="Arial"/>
                <w:sz w:val="18"/>
                <w:szCs w:val="18"/>
                <w:color w:val="auto"/>
              </w:rPr>
              <w:t>Other current liabilities</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8"/>
                <w:szCs w:val="18"/>
                <w:color w:val="auto"/>
              </w:rPr>
            </w:pPr>
          </w:p>
        </w:tc>
        <w:tc>
          <w:tcPr>
            <w:tcW w:w="2000" w:type="dxa"/>
            <w:vAlign w:val="bottom"/>
          </w:tcPr>
          <w:p>
            <w:pPr>
              <w:ind w:left="120"/>
              <w:spacing w:after="0"/>
              <w:rPr>
                <w:sz w:val="20"/>
                <w:szCs w:val="20"/>
                <w:color w:val="auto"/>
              </w:rPr>
            </w:pPr>
            <w:r>
              <w:rPr>
                <w:rFonts w:ascii="Arial" w:cs="Arial" w:eastAsia="Arial" w:hAnsi="Arial"/>
                <w:sz w:val="18"/>
                <w:szCs w:val="18"/>
                <w:color w:val="auto"/>
                <w:w w:val="93"/>
              </w:rPr>
              <w:t>Other long-term liabilities</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9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200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line="182" w:lineRule="exact"/>
              <w:rPr>
                <w:sz w:val="20"/>
                <w:szCs w:val="20"/>
                <w:color w:val="auto"/>
              </w:rPr>
            </w:pPr>
            <w:r>
              <w:rPr>
                <w:rFonts w:ascii="Arial" w:cs="Arial" w:eastAsia="Arial" w:hAnsi="Arial"/>
                <w:sz w:val="18"/>
                <w:szCs w:val="18"/>
                <w:color w:val="auto"/>
                <w:w w:val="97"/>
              </w:rPr>
              <w:t>Total derivatives not designated as hedging</w:t>
            </w:r>
          </w:p>
        </w:tc>
        <w:tc>
          <w:tcPr>
            <w:tcW w:w="2900" w:type="dxa"/>
            <w:vAlign w:val="bottom"/>
          </w:tcPr>
          <w:p>
            <w:pPr>
              <w:spacing w:after="0"/>
              <w:rPr>
                <w:sz w:val="15"/>
                <w:szCs w:val="15"/>
                <w:color w:val="auto"/>
              </w:rPr>
            </w:pP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right w:val="single" w:sz="8" w:color="auto"/>
            </w:tcBorders>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600" w:type="dxa"/>
            <w:vAlign w:val="bottom"/>
          </w:tcPr>
          <w:p>
            <w:pPr>
              <w:ind w:left="360"/>
              <w:spacing w:after="0"/>
              <w:rPr>
                <w:sz w:val="20"/>
                <w:szCs w:val="20"/>
                <w:color w:val="auto"/>
              </w:rPr>
            </w:pPr>
            <w:r>
              <w:rPr>
                <w:rFonts w:ascii="Arial" w:cs="Arial" w:eastAsia="Arial" w:hAnsi="Arial"/>
                <w:sz w:val="18"/>
                <w:szCs w:val="18"/>
                <w:color w:val="auto"/>
              </w:rPr>
              <w:t>instruments</w:t>
            </w:r>
          </w:p>
        </w:tc>
        <w:tc>
          <w:tcPr>
            <w:tcW w:w="290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00" w:type="dxa"/>
            <w:vAlign w:val="bottom"/>
          </w:tcPr>
          <w:p>
            <w:pPr>
              <w:ind w:left="180"/>
              <w:spacing w:after="0"/>
              <w:rPr>
                <w:sz w:val="20"/>
                <w:szCs w:val="20"/>
                <w:color w:val="auto"/>
              </w:rPr>
            </w:pPr>
            <w:r>
              <w:rPr>
                <w:rFonts w:ascii="Arial" w:cs="Arial" w:eastAsia="Arial" w:hAnsi="Arial"/>
                <w:sz w:val="18"/>
                <w:szCs w:val="18"/>
                <w:color w:val="auto"/>
              </w:rPr>
              <w:t>Total derivatives</w:t>
            </w:r>
          </w:p>
        </w:tc>
        <w:tc>
          <w:tcPr>
            <w:tcW w:w="2900" w:type="dxa"/>
            <w:vAlign w:val="bottom"/>
          </w:tcPr>
          <w:p>
            <w:pPr>
              <w:spacing w:after="0"/>
              <w:rPr>
                <w:sz w:val="24"/>
                <w:szCs w:val="24"/>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right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-745490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2466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660" w:hanging="659"/>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(43)</w:t>
      </w:r>
    </w:p>
    <w:p>
      <w:pPr>
        <w:spacing w:after="0" w:line="46"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8"/>
          <w:szCs w:val="18"/>
          <w:color w:val="auto"/>
        </w:rPr>
        <w:t>(7)</w:t>
      </w:r>
    </w:p>
    <w:p>
      <w:pPr>
        <w:spacing w:after="0" w:line="9"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8"/>
          <w:szCs w:val="18"/>
          <w:color w:val="auto"/>
        </w:rPr>
        <w:t>(2)</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657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77" w:lineRule="exact"/>
        <w:rPr>
          <w:sz w:val="20"/>
          <w:szCs w:val="20"/>
          <w:color w:val="auto"/>
        </w:rPr>
      </w:pPr>
    </w:p>
    <w:p>
      <w:pPr>
        <w:ind w:left="660" w:hanging="659"/>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(62)</w:t>
      </w:r>
    </w:p>
    <w:p>
      <w:pPr>
        <w:spacing w:after="0" w:line="288" w:lineRule="exact"/>
        <w:rPr>
          <w:rFonts w:ascii="Arial" w:cs="Arial" w:eastAsia="Arial" w:hAnsi="Arial"/>
          <w:sz w:val="16"/>
          <w:szCs w:val="16"/>
          <w:color w:val="auto"/>
        </w:rPr>
      </w:pPr>
    </w:p>
    <w:p>
      <w:pPr>
        <w:ind w:left="660" w:hanging="659"/>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5657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63500</wp:posOffset>
            </wp:positionV>
            <wp:extent cx="5657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-269875</wp:posOffset>
            </wp:positionV>
            <wp:extent cx="5657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313" w:lineRule="exact"/>
        <w:rPr>
          <w:sz w:val="20"/>
          <w:szCs w:val="20"/>
          <w:color w:val="auto"/>
        </w:rPr>
      </w:pPr>
    </w:p>
    <w:p>
      <w:pPr>
        <w:sectPr>
          <w:pgSz w:w="11900" w:h="16852" w:orient="portrait"/>
          <w:cols w:equalWidth="0" w:num="2">
            <w:col w:w="9700" w:space="720"/>
            <w:col w:w="1000"/>
          </w:cols>
          <w:pgMar w:left="240" w:top="134" w:right="239" w:bottom="0" w:gutter="0" w:footer="0" w:header="0"/>
        </w:sectPr>
      </w:pPr>
    </w:p>
    <w:p>
      <w:pPr>
        <w:spacing w:after="0" w:line="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December 31, 2013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500" w:type="dxa"/>
            <w:vAlign w:val="bottom"/>
            <w:tcBorders>
              <w:bottom w:val="single" w:sz="8" w:color="auto"/>
            </w:tcBorders>
            <w:gridSpan w:val="2"/>
          </w:tcPr>
          <w:p>
            <w:pPr>
              <w:ind w:left="1280"/>
              <w:spacing w:after="0"/>
              <w:rPr>
                <w:sz w:val="20"/>
                <w:szCs w:val="20"/>
                <w:color w:val="auto"/>
              </w:rPr>
            </w:pPr>
            <w:r>
              <w:rPr>
                <w:rFonts w:ascii="Arial" w:cs="Arial" w:eastAsia="Arial" w:hAnsi="Arial"/>
                <w:sz w:val="14"/>
                <w:szCs w:val="14"/>
                <w:b w:val="1"/>
                <w:bCs w:val="1"/>
                <w:color w:val="auto"/>
              </w:rPr>
              <w:t>Asset Derivatives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tcBorders>
              <w:bottom w:val="single" w:sz="8" w:color="auto"/>
            </w:tcBorders>
            <w:gridSpan w:val="2"/>
          </w:tcPr>
          <w:p>
            <w:pPr>
              <w:ind w:left="1160"/>
              <w:spacing w:after="0"/>
              <w:rPr>
                <w:sz w:val="20"/>
                <w:szCs w:val="20"/>
                <w:color w:val="auto"/>
              </w:rPr>
            </w:pPr>
            <w:r>
              <w:rPr>
                <w:rFonts w:ascii="Arial" w:cs="Arial" w:eastAsia="Arial" w:hAnsi="Arial"/>
                <w:sz w:val="14"/>
                <w:szCs w:val="14"/>
                <w:b w:val="1"/>
                <w:bCs w:val="1"/>
                <w:color w:val="auto"/>
              </w:rPr>
              <w:t>Liability Derivatives</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500" w:type="dxa"/>
            <w:vAlign w:val="bottom"/>
            <w:gridSpan w:val="2"/>
          </w:tcPr>
          <w:p>
            <w:pPr>
              <w:ind w:left="660"/>
              <w:spacing w:after="0" w:line="119" w:lineRule="exact"/>
              <w:rPr>
                <w:sz w:val="20"/>
                <w:szCs w:val="20"/>
                <w:color w:val="auto"/>
              </w:rPr>
            </w:pPr>
            <w:r>
              <w:rPr>
                <w:rFonts w:ascii="Arial" w:cs="Arial" w:eastAsia="Arial" w:hAnsi="Arial"/>
                <w:sz w:val="13"/>
                <w:szCs w:val="13"/>
                <w:b w:val="1"/>
                <w:bCs w:val="1"/>
                <w:color w:val="auto"/>
              </w:rPr>
              <w:t>Balance Sheet</w:t>
            </w:r>
          </w:p>
        </w:tc>
        <w:tc>
          <w:tcPr>
            <w:tcW w:w="160" w:type="dxa"/>
            <w:vAlign w:val="bottom"/>
          </w:tcPr>
          <w:p>
            <w:pPr>
              <w:spacing w:after="0"/>
              <w:rPr>
                <w:sz w:val="10"/>
                <w:szCs w:val="10"/>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0"/>
                <w:szCs w:val="10"/>
                <w:color w:val="auto"/>
              </w:rPr>
            </w:pPr>
          </w:p>
        </w:tc>
        <w:tc>
          <w:tcPr>
            <w:tcW w:w="25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0"/>
                <w:szCs w:val="10"/>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500" w:type="dxa"/>
            <w:vAlign w:val="bottom"/>
            <w:gridSpan w:val="2"/>
          </w:tcPr>
          <w:p>
            <w:pPr>
              <w:ind w:left="82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Location</w:t>
            </w: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Derivatives designated as hedging</w:t>
            </w:r>
          </w:p>
        </w:tc>
        <w:tc>
          <w:tcPr>
            <w:tcW w:w="22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right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2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Commodity derivatives</w:t>
            </w:r>
          </w:p>
        </w:tc>
        <w:tc>
          <w:tcPr>
            <w:tcW w:w="25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36</w:t>
            </w:r>
          </w:p>
        </w:tc>
        <w:tc>
          <w:tcPr>
            <w:tcW w:w="2680" w:type="dxa"/>
            <w:vAlign w:val="bottom"/>
            <w:gridSpan w:val="3"/>
          </w:tcPr>
          <w:p>
            <w:pPr>
              <w:ind w:left="14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6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rate derivatives</w:t>
            </w:r>
          </w:p>
        </w:tc>
        <w:tc>
          <w:tcPr>
            <w:tcW w:w="2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rPr>
              <w:t>Total derivatives designated as hedging</w:t>
            </w:r>
          </w:p>
        </w:tc>
        <w:tc>
          <w:tcPr>
            <w:tcW w:w="2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instruments</w:t>
            </w:r>
          </w:p>
        </w:tc>
        <w:tc>
          <w:tcPr>
            <w:tcW w:w="2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20" w:type="dxa"/>
            <w:vAlign w:val="bottom"/>
            <w:tcBorders>
              <w:right w:val="single" w:sz="8" w:color="auto"/>
            </w:tcBorders>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Derivatives not designated as hedging</w:t>
            </w:r>
          </w:p>
        </w:tc>
        <w:tc>
          <w:tcPr>
            <w:tcW w:w="2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2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Commodity derivatives</w:t>
            </w:r>
          </w:p>
        </w:tc>
        <w:tc>
          <w:tcPr>
            <w:tcW w:w="25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60</w:t>
            </w:r>
          </w:p>
        </w:tc>
        <w:tc>
          <w:tcPr>
            <w:tcW w:w="2680" w:type="dxa"/>
            <w:vAlign w:val="bottom"/>
            <w:gridSpan w:val="3"/>
          </w:tcPr>
          <w:p>
            <w:pPr>
              <w:ind w:left="14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6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68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w:t>
            </w:r>
          </w:p>
        </w:tc>
        <w:tc>
          <w:tcPr>
            <w:tcW w:w="2680" w:type="dxa"/>
            <w:vAlign w:val="bottom"/>
            <w:gridSpan w:val="3"/>
          </w:tcPr>
          <w:p>
            <w:pPr>
              <w:ind w:left="14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268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680" w:type="dxa"/>
            <w:vAlign w:val="bottom"/>
            <w:gridSpan w:val="3"/>
          </w:tcPr>
          <w:p>
            <w:pPr>
              <w:ind w:left="14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shd w:val="clear" w:color="auto" w:fill="CCEEFF"/>
          </w:tcPr>
          <w:p>
            <w:pPr>
              <w:ind w:left="160"/>
              <w:spacing w:after="0" w:line="201" w:lineRule="exact"/>
              <w:rPr>
                <w:sz w:val="20"/>
                <w:szCs w:val="20"/>
                <w:color w:val="auto"/>
              </w:rPr>
            </w:pPr>
            <w:r>
              <w:rPr>
                <w:rFonts w:ascii="Arial" w:cs="Arial" w:eastAsia="Arial" w:hAnsi="Arial"/>
                <w:sz w:val="18"/>
                <w:szCs w:val="18"/>
                <w:color w:val="auto"/>
              </w:rPr>
              <w:t>Total derivatives not designated as hedging</w:t>
            </w:r>
          </w:p>
        </w:tc>
        <w:tc>
          <w:tcPr>
            <w:tcW w:w="2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vMerge w:val="continue"/>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right w:val="single" w:sz="8" w:color="auto"/>
            </w:tcBorders>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instruments</w:t>
            </w:r>
          </w:p>
        </w:tc>
        <w:tc>
          <w:tcPr>
            <w:tcW w:w="2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80" w:type="dxa"/>
            <w:vAlign w:val="bottom"/>
            <w:tcBorders>
              <w:right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derivatives</w:t>
            </w:r>
          </w:p>
        </w:tc>
        <w:tc>
          <w:tcPr>
            <w:tcW w:w="2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our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September 30, 2014, we had a net broker receivable of $35 million (consisting of initial margin of $74 million reduced by $39 million of variation margin that had been returned to us). As of December 31, 2013, we had a net broker receivable of $161 million (consisting of initial margin of $85 million increased by $76 million of variation margin that had been posted by us).</w:t>
      </w:r>
    </w:p>
    <w:p>
      <w:pPr>
        <w:spacing w:after="0" w:line="17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tables present information about derivatives and financial assets and liabilities that are subject to offsetting, including enforceable master netting arrangements at September 30, 2014 and December 31, 2013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September 30, 2014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Derivative</w:t>
            </w:r>
          </w:p>
        </w:tc>
        <w:tc>
          <w:tcPr>
            <w:tcW w:w="1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334"/>
              <w:spacing w:after="0" w:line="119" w:lineRule="exact"/>
              <w:rPr>
                <w:sz w:val="20"/>
                <w:szCs w:val="20"/>
                <w:color w:val="auto"/>
              </w:rPr>
            </w:pPr>
            <w:r>
              <w:rPr>
                <w:rFonts w:ascii="Arial" w:cs="Arial" w:eastAsia="Arial" w:hAnsi="Arial"/>
                <w:sz w:val="13"/>
                <w:szCs w:val="13"/>
                <w:b w:val="1"/>
                <w:bCs w:val="1"/>
                <w:color w:val="auto"/>
              </w:rPr>
              <w:t>Derivative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Derivative</w:t>
            </w:r>
          </w:p>
        </w:tc>
        <w:tc>
          <w:tcPr>
            <w:tcW w:w="1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334"/>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1"/>
              </w:rPr>
              <w:t>Asset Positions</w:t>
            </w:r>
          </w:p>
        </w:tc>
        <w:tc>
          <w:tcPr>
            <w:tcW w:w="14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Liability Positions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Asset Positions</w:t>
            </w:r>
          </w:p>
        </w:tc>
        <w:tc>
          <w:tcPr>
            <w:tcW w:w="120" w:type="dxa"/>
            <w:vAlign w:val="bottom"/>
          </w:tcPr>
          <w:p>
            <w:pPr>
              <w:spacing w:after="0"/>
              <w:rPr>
                <w:sz w:val="14"/>
                <w:szCs w:val="14"/>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Liability Positions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Netting Adjustments:</w:t>
            </w: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Gross position - asset/(liability)</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(77)</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Netting adjustment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Cash collateral paid/(received)</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position - asset/(liability)</w:t>
            </w:r>
          </w:p>
        </w:tc>
        <w:tc>
          <w:tcPr>
            <w:tcW w:w="4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right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Balance Sheet Location After Netting Adjustments: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current assets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As of September 30, 2014, there was a net loss of $118 million deferred in AOCI including tax effects. The deferred net loss recorded in AOCI is expected to be reclassified to future earnings contemporaneously with (i) the earnings recognition of the underlying hedged commodity transaction or</w:t>
      </w:r>
    </w:p>
    <w:p>
      <w:pPr>
        <w:jc w:val="both"/>
        <w:ind w:right="640" w:firstLine="8"/>
        <w:spacing w:after="0" w:line="323" w:lineRule="auto"/>
        <w:tabs>
          <w:tab w:leader="none" w:pos="26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interest expense accruals associated with underlying debt instruments. Of the total net loss deferred in AOCI at September 30, 2014, we expect to reclassify a net gain of $1 million to earnings in the next twelve months. The remaining deferred loss of $119 million is expected to be reclassified to</w:t>
      </w:r>
    </w:p>
    <w:p>
      <w:pPr>
        <w:sectPr>
          <w:pgSz w:w="11900" w:h="16852" w:orient="portrait"/>
          <w:cols w:equalWidth="0" w:num="1">
            <w:col w:w="11420"/>
          </w:cols>
          <w:pgMar w:left="240" w:top="134" w:right="239" w:bottom="0" w:gutter="0" w:footer="0" w:header="0"/>
          <w:type w:val="continuous"/>
        </w:sectPr>
      </w:pPr>
    </w:p>
    <w:bookmarkStart w:id="16" w:name="page17"/>
    <w:bookmarkEnd w:id="16"/>
    <w:p>
      <w:pPr>
        <w:ind w:right="300"/>
        <w:spacing w:after="0" w:line="277" w:lineRule="auto"/>
        <w:rPr>
          <w:sz w:val="20"/>
          <w:szCs w:val="20"/>
          <w:color w:val="auto"/>
        </w:rPr>
      </w:pPr>
      <w:r>
        <w:rPr>
          <w:rFonts w:ascii="Arial" w:cs="Arial" w:eastAsia="Arial" w:hAnsi="Arial"/>
          <w:sz w:val="18"/>
          <w:szCs w:val="18"/>
          <w:color w:val="auto"/>
        </w:rPr>
        <w:t>earnings through 2045. A portion of these amounts are based on market prices as of September 30, 2014; thus, actual amounts to be reclassified will differ and could vary materially as a result of changes in market conditions.</w:t>
      </w:r>
    </w:p>
    <w:p>
      <w:pPr>
        <w:spacing w:after="0" w:line="170" w:lineRule="exact"/>
        <w:rPr>
          <w:sz w:val="20"/>
          <w:szCs w:val="20"/>
          <w:color w:val="auto"/>
        </w:rPr>
      </w:pPr>
    </w:p>
    <w:p>
      <w:pPr>
        <w:ind w:right="100" w:firstLine="702"/>
        <w:spacing w:after="0" w:line="277" w:lineRule="auto"/>
        <w:rPr>
          <w:sz w:val="20"/>
          <w:szCs w:val="20"/>
          <w:color w:val="auto"/>
        </w:rPr>
      </w:pPr>
      <w:r>
        <w:rPr>
          <w:rFonts w:ascii="Arial" w:cs="Arial" w:eastAsia="Arial" w:hAnsi="Arial"/>
          <w:sz w:val="18"/>
          <w:szCs w:val="18"/>
          <w:color w:val="auto"/>
        </w:rPr>
        <w:t>The net deferred gain/(loss), including tax effects, recognized in AOCI for derivatives for the three and nine months ended September 30, 2014 and 2013 are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0"/>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 net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7"/>
                <w:szCs w:val="17"/>
                <w:color w:val="auto"/>
                <w:w w:val="72"/>
              </w:rPr>
              <w:t>(10)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Interest rate derivatives, net</w:t>
            </w: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(47)</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23"/>
        </w:trPr>
        <w:tc>
          <w:tcPr>
            <w:tcW w:w="5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4"/>
              </w:rPr>
              <w:t>(57</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At September 30, 2014 and December 31, 2013,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jc w:val="both"/>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as of September 30, 2014 and December 31, 2013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8"/>
                <w:szCs w:val="8"/>
                <w:b w:val="1"/>
                <w:bCs w:val="1"/>
                <w:color w:val="auto"/>
              </w:rPr>
              <w:t>(1)</w:t>
            </w:r>
          </w:p>
        </w:tc>
        <w:tc>
          <w:tcPr>
            <w:tcW w:w="240" w:type="dxa"/>
            <w:vAlign w:val="bottom"/>
            <w:vMerge w:val="restart"/>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93"/>
              </w:rPr>
              <w:t>Fair Value as of September 30, 2014</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93"/>
              </w:rPr>
              <w:t>Fair Value as of December 31, 2013</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Level 1</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1</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ind w:left="180"/>
              <w:spacing w:after="0" w:line="201" w:lineRule="exact"/>
              <w:rPr>
                <w:sz w:val="20"/>
                <w:szCs w:val="20"/>
                <w:color w:val="auto"/>
              </w:rPr>
            </w:pPr>
            <w:r>
              <w:rPr>
                <w:rFonts w:ascii="Arial" w:cs="Arial" w:eastAsia="Arial" w:hAnsi="Arial"/>
                <w:sz w:val="18"/>
                <w:szCs w:val="18"/>
                <w:color w:val="auto"/>
              </w:rPr>
              <w:t>Total net derivative</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880" w:type="dxa"/>
            <w:vAlign w:val="bottom"/>
            <w:gridSpan w:val="2"/>
            <w:vMerge w:val="continue"/>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6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5"/>
                <w:szCs w:val="15"/>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(37)</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7"/>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asset/(liability)</w:t>
            </w:r>
          </w:p>
        </w:tc>
        <w:tc>
          <w:tcPr>
            <w:tcW w:w="1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tcBorders>
              <w:right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1"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340"/>
        <w:spacing w:after="0" w:line="302" w:lineRule="auto"/>
        <w:rPr>
          <w:sz w:val="20"/>
          <w:szCs w:val="20"/>
          <w:color w:val="auto"/>
        </w:rPr>
      </w:pPr>
      <w:r>
        <w:rPr>
          <w:rFonts w:ascii="Arial" w:cs="Arial" w:eastAsia="Arial" w:hAnsi="Arial"/>
          <w:sz w:val="16"/>
          <w:szCs w:val="16"/>
          <w:color w:val="auto"/>
        </w:rPr>
        <w:t>Level 3 of the fair value hierarchy includes certain physical commodity contracts.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Level 3 derivatives.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Unrealized gains/(losses):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Included in earnings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Included in other comprehensive income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Derivatives entered into during the period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out of Level 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Ending Balance</w:t>
            </w:r>
          </w:p>
        </w:tc>
        <w:tc>
          <w:tcPr>
            <w:tcW w:w="1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gridSpan w:val="2"/>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vMerge w:val="continue"/>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vMerge w:val="continue"/>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vMerge w:val="continue"/>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w w:val="92"/>
              </w:rPr>
              <w:t>Change in unrealized gains/(losses) included in earnings relating</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to Level 3 derivatives still held at the end of the periods</w:t>
            </w:r>
          </w:p>
        </w:tc>
        <w:tc>
          <w:tcPr>
            <w:tcW w:w="102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7" w:name="page18"/>
    <w:bookmarkEnd w:id="17"/>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ind w:left="660" w:right="240" w:hanging="652"/>
        <w:spacing w:after="0" w:line="227" w:lineRule="auto"/>
        <w:tabs>
          <w:tab w:leader="none" w:pos="64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We reported unrealized gains and losses associated with Level 3 commodity derivatives in our condensed consolidated statements of operations as Supply and Logistics segment revenues.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In the ordinary course of business, we are involved in various legal proceedings. To the extent we are able to assess the likelihood of a</w:t>
      </w:r>
      <w:r>
        <w:rPr>
          <w:rFonts w:ascii="Arial" w:cs="Arial" w:eastAsia="Arial" w:hAnsi="Arial"/>
          <w:sz w:val="17"/>
          <w:szCs w:val="17"/>
          <w:i w:val="1"/>
          <w:iCs w:val="1"/>
          <w:color w:val="auto"/>
        </w:rPr>
        <w:t xml:space="preserve"> </w:t>
      </w:r>
      <w:r>
        <w:rPr>
          <w:rFonts w:ascii="Arial" w:cs="Arial" w:eastAsia="Arial" w:hAnsi="Arial"/>
          <w:sz w:val="17"/>
          <w:szCs w:val="17"/>
          <w:color w:val="auto"/>
        </w:rPr>
        <w:t>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 adverse effect on our financial condition, results of operations or cash flows. Although we believe that our operations are presently in material compliance with applicable requirements, as we acquire and incorporate additional assets it is possible that the EPA or other governmental entities may seek to impose fines, penalties or performance obligations on us (or on a portion of our operations) as a result of any past noncompliance whether such noncompliance initially developed before or after our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Although we believe that our efforts to enhance our leak prevention and detection capabilities have produced positive results,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experienced (and likely will experience future) releases of hydrocarbon products into the environment from our pipeline, rail and storage operations. These releases can result from unpredictable man-made or natural forces and may reach surface water bodies, groundwater aquifers or other sensitive environments. Whether current or past, damages and liabilities associated with any such releases from our assets may substantially affect our business.</w:t>
      </w:r>
    </w:p>
    <w:p>
      <w:pPr>
        <w:spacing w:after="0" w:line="154"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At September 30, 2014, our estimated undiscounted reserve for environmental liabilities totaled $87 million, of which $13 million was classified as short-term and $74 million was classified as long-term. At December 31, 2013, our estimated undiscounted reserve for environmental liabilities totaled</w:t>
      </w:r>
    </w:p>
    <w:p>
      <w:pPr>
        <w:spacing w:after="0" w:line="271" w:lineRule="auto"/>
        <w:rPr>
          <w:sz w:val="20"/>
          <w:szCs w:val="20"/>
          <w:color w:val="auto"/>
        </w:rPr>
      </w:pPr>
      <w:r>
        <w:rPr>
          <w:rFonts w:ascii="Arial" w:cs="Arial" w:eastAsia="Arial" w:hAnsi="Arial"/>
          <w:sz w:val="17"/>
          <w:szCs w:val="17"/>
          <w:color w:val="auto"/>
        </w:rPr>
        <w:t>$93 million, of which $11 million was classified as short-term and $82 million was classified as long-term. The short- and long-term environmental liabilities referenced above are reflected in “Accounts payable and accrued liabilities” and “Other long-term liabilities and deferred credits,” respectively, on our condensed consolidated balance sheets. At September 30, 2014 and December 31, 2013, we had recorded receivables totaling $9 million and $10 million, respectively, for amounts probable of recovery under insurance and from third parties under indemnification agreements, which are predominantly reflected in “Trade accounts receivable and other receivables, net” on our condensed consolidated balance sheets.</w:t>
      </w:r>
    </w:p>
    <w:p>
      <w:pPr>
        <w:spacing w:after="0" w:line="17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some cases, the actual cash expenditures may not occur for three years or longer.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financial condition, results of operations or cash flows.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i w:val="1"/>
          <w:iCs w:val="1"/>
          <w:color w:val="auto"/>
        </w:rPr>
        <w:t xml:space="preserve">Bay Springs Pipeline Release. </w:t>
      </w:r>
      <w:r>
        <w:rPr>
          <w:rFonts w:ascii="Arial" w:cs="Arial" w:eastAsia="Arial" w:hAnsi="Arial"/>
          <w:sz w:val="17"/>
          <w:szCs w:val="17"/>
          <w:color w:val="auto"/>
        </w:rPr>
        <w:t>During February 2013, we experienced a crude oil release of approximately 120 barrels on a portion of one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pipelines near Bay Springs, Mississippi. Most of the released oil was contained within our pipeline right of way, but some of the released oil entered a nearby waterway where it was contained with booms. The EPA has issued an administrative order requiring us to take various actions in response to the release, including remediation, reporting and other actions. We have satisfied the requirements of the administrative order; however, we may be subjected to a civil penalty. The aggregate cost to clean up and remediate the site was approximately $6 million.</w:t>
      </w:r>
    </w:p>
    <w:p>
      <w:pPr>
        <w:spacing w:after="0" w:line="17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Kemp River Pipeline Release. </w:t>
      </w:r>
      <w:r>
        <w:rPr>
          <w:rFonts w:ascii="Arial" w:cs="Arial" w:eastAsia="Arial" w:hAnsi="Arial"/>
          <w:sz w:val="17"/>
          <w:szCs w:val="17"/>
          <w:color w:val="auto"/>
        </w:rPr>
        <w:t>During May and June 2013, two separate releases were discovered on our Kemp River pipeline in Northern Alberta,</w:t>
      </w:r>
      <w:r>
        <w:rPr>
          <w:rFonts w:ascii="Arial" w:cs="Arial" w:eastAsia="Arial" w:hAnsi="Arial"/>
          <w:sz w:val="17"/>
          <w:szCs w:val="17"/>
          <w:i w:val="1"/>
          <w:iCs w:val="1"/>
          <w:color w:val="auto"/>
        </w:rPr>
        <w:t xml:space="preserve"> </w:t>
      </w:r>
      <w:r>
        <w:rPr>
          <w:rFonts w:ascii="Arial" w:cs="Arial" w:eastAsia="Arial" w:hAnsi="Arial"/>
          <w:sz w:val="17"/>
          <w:szCs w:val="17"/>
          <w:color w:val="auto"/>
        </w:rPr>
        <w:t>Canada that, in the aggregate, resulted in the release of approximately 700 barrels of condensate and light crude oil. Clean-up and remediation activities are being conducted in cooperation with the applicable regulatory agencies. AER’s final investigation is not complete. To date, no charges, fines or penalties have been assessed against PMC with respect to these releases; however, it is possible that fines or penalties may be assessed against PMC in the future. We estimate that the aggregate clean-up and remediation costs associated with these releases will be approximately $15 million. Through September 30, 2014, we spent approximately $8 million in connection with clean-up and remediation activities.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12—Operating Segments</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manage our operations through three operating segments: (i) Transportation, (ii) Facilities and (iii)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(i) purchases and related costs, (ii) field operating costs and (iii) segment general and administrative expenses. Each of the items above excludes depreciation and amortization. Maintenance capital consists of capital expenditures for the replacement of partially or fully depreciated assets in order to maintain the operating and/or earnings capacity of our existing assets.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for the periods indicated (in millions):</w:t>
      </w:r>
    </w:p>
    <w:p>
      <w:pPr>
        <w:spacing w:after="0" w:line="217" w:lineRule="exact"/>
        <w:rPr>
          <w:sz w:val="20"/>
          <w:szCs w:val="20"/>
          <w:color w:val="auto"/>
        </w:rPr>
      </w:pPr>
    </w:p>
    <w:p>
      <w:pPr>
        <w:ind w:left="4420"/>
        <w:spacing w:after="0"/>
        <w:tabs>
          <w:tab w:leader="none" w:pos="6480" w:val="left"/>
          <w:tab w:leader="none" w:pos="8000" w:val="left"/>
          <w:tab w:leader="none" w:pos="10340" w:val="left"/>
        </w:tabs>
        <w:rPr>
          <w:sz w:val="20"/>
          <w:szCs w:val="20"/>
          <w:color w:val="auto"/>
        </w:rPr>
      </w:pPr>
      <w:r>
        <w:rPr>
          <w:rFonts w:ascii="Arial" w:cs="Arial" w:eastAsia="Arial" w:hAnsi="Arial"/>
          <w:sz w:val="14"/>
          <w:szCs w:val="14"/>
          <w:b w:val="1"/>
          <w:bCs w:val="1"/>
          <w:color w:val="auto"/>
        </w:rPr>
        <w:t>Transportation</w:t>
      </w:r>
      <w:r>
        <w:rPr>
          <w:sz w:val="20"/>
          <w:szCs w:val="20"/>
          <w:color w:val="auto"/>
        </w:rPr>
        <w:tab/>
      </w:r>
      <w:r>
        <w:rPr>
          <w:rFonts w:ascii="Arial" w:cs="Arial" w:eastAsia="Arial" w:hAnsi="Arial"/>
          <w:sz w:val="14"/>
          <w:szCs w:val="14"/>
          <w:b w:val="1"/>
          <w:bCs w:val="1"/>
          <w:color w:val="auto"/>
        </w:rPr>
        <w:t>Facilities</w:t>
      </w:r>
      <w:r>
        <w:rPr>
          <w:sz w:val="20"/>
          <w:szCs w:val="20"/>
          <w:color w:val="auto"/>
        </w:rPr>
        <w:tab/>
      </w:r>
      <w:r>
        <w:rPr>
          <w:rFonts w:ascii="Arial" w:cs="Arial" w:eastAsia="Arial" w:hAnsi="Arial"/>
          <w:sz w:val="14"/>
          <w:szCs w:val="14"/>
          <w:b w:val="1"/>
          <w:bCs w:val="1"/>
          <w:color w:val="auto"/>
        </w:rPr>
        <w:t>Supply and Logistics</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Three Months Ended September 30,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36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6195"/>
                    </a:xfrm>
                    <a:prstGeom prst="rect">
                      <a:avLst/>
                    </a:prstGeom>
                    <a:noFill/>
                  </pic:spPr>
                </pic:pic>
              </a:graphicData>
            </a:graphic>
          </wp:anchor>
        </w:drawing>
      </w:r>
    </w:p>
    <w:p>
      <w:pPr>
        <w:sectPr>
          <w:pgSz w:w="11900" w:h="16892" w:orient="portrait"/>
          <w:cols w:equalWidth="0" w:num="1">
            <w:col w:w="11420"/>
          </w:cols>
          <w:pgMar w:left="240" w:top="571" w:right="23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10,788</w:t>
            </w:r>
          </w:p>
        </w:tc>
        <w:tc>
          <w:tcPr>
            <w:tcW w:w="5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20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226</w:t>
            </w:r>
          </w:p>
        </w:tc>
        <w:tc>
          <w:tcPr>
            <w:tcW w:w="3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Borders>
              <w:bottom w:val="single" w:sz="8" w:color="CCEEFF"/>
            </w:tcBorders>
            <w:gridSpan w:val="2"/>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w:t>
            </w:r>
          </w:p>
        </w:tc>
        <w:tc>
          <w:tcPr>
            <w:tcW w:w="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60" w:type="dxa"/>
            <w:vAlign w:val="bottom"/>
            <w:tcBorders>
              <w:bottom w:val="single" w:sz="8" w:color="CCEEFF"/>
            </w:tcBorders>
            <w:gridSpan w:val="2"/>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(3) (4)</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231</w:t>
            </w: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Borders>
              <w:bottom w:val="single" w:sz="8" w:color="CCEEFF"/>
            </w:tcBorders>
            <w:gridSpan w:val="2"/>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w:t>
            </w:r>
          </w:p>
        </w:tc>
        <w:tc>
          <w:tcPr>
            <w:tcW w:w="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September 30, 2013</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External Customers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179</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10,386</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10,703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3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10,386</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6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Equity earnings in unconsolidated entities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(3) (4)</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Borders>
              <w:bottom w:val="single" w:sz="8" w:color="CCEEFF"/>
            </w:tcBorders>
            <w:gridSpan w:val="2"/>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w:t>
            </w:r>
          </w:p>
        </w:tc>
        <w:tc>
          <w:tcPr>
            <w:tcW w:w="3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6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w:t>
            </w: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0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Transportation</w:t>
            </w:r>
          </w:p>
        </w:tc>
        <w:tc>
          <w:tcPr>
            <w:tcW w:w="300" w:type="dxa"/>
            <w:vAlign w:val="bottom"/>
          </w:tcPr>
          <w:p>
            <w:pPr>
              <w:spacing w:after="0"/>
              <w:rPr>
                <w:sz w:val="24"/>
                <w:szCs w:val="2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Supply and Logistics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Nine Months Ended September 30, 2014</w:t>
            </w: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574</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32,988</w:t>
            </w:r>
          </w:p>
        </w:tc>
        <w:tc>
          <w:tcPr>
            <w:tcW w:w="5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20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648</w:t>
            </w:r>
          </w:p>
        </w:tc>
        <w:tc>
          <w:tcPr>
            <w:tcW w:w="3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Borders>
              <w:bottom w:val="single" w:sz="8" w:color="CCEEFF"/>
            </w:tcBorders>
            <w:gridSpan w:val="2"/>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w:t>
            </w:r>
          </w:p>
        </w:tc>
        <w:tc>
          <w:tcPr>
            <w:tcW w:w="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60" w:type="dxa"/>
            <w:vAlign w:val="bottom"/>
            <w:tcBorders>
              <w:bottom w:val="single" w:sz="8" w:color="CCEEFF"/>
            </w:tcBorders>
            <w:gridSpan w:val="2"/>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(3) (4)</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658</w:t>
            </w: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435</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534</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Borders>
              <w:bottom w:val="single" w:sz="8" w:color="CCEEFF"/>
            </w:tcBorders>
            <w:gridSpan w:val="2"/>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w:t>
            </w:r>
          </w:p>
        </w:tc>
        <w:tc>
          <w:tcPr>
            <w:tcW w:w="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Nine Months Ended September 30, 2013</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External Customers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517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30,542</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31,617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594</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3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30,544</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32,638</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6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Equity earnings in unconsolidated entities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(3) (4)</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Borders>
              <w:bottom w:val="single" w:sz="8" w:color="CCEEFF"/>
            </w:tcBorders>
            <w:gridSpan w:val="2"/>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522</w:t>
            </w:r>
          </w:p>
        </w:tc>
        <w:tc>
          <w:tcPr>
            <w:tcW w:w="3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445</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673</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1,640</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6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w:t>
            </w: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-3174365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-3174365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340" w:hanging="11"/>
        <w:spacing w:after="0" w:line="342" w:lineRule="auto"/>
        <w:rPr>
          <w:sz w:val="20"/>
          <w:szCs w:val="20"/>
          <w:color w:val="auto"/>
        </w:rPr>
      </w:pPr>
      <w:r>
        <w:rPr>
          <w:rFonts w:ascii="Arial" w:cs="Arial" w:eastAsia="Arial" w:hAnsi="Arial"/>
          <w:sz w:val="16"/>
          <w:szCs w:val="16"/>
          <w:color w:val="auto"/>
        </w:rPr>
        <w:t>Effective January 1, 2014, our natural gas sales and costs, primarily attributable to the activities performed by our natural gas storage commercial optimization group, are reported in the Supply and Logistics segment. Such items were previously reported in the Facilities segment.</w:t>
      </w:r>
    </w:p>
    <w:p>
      <w:pPr>
        <w:spacing w:after="0" w:line="124" w:lineRule="exact"/>
        <w:rPr>
          <w:sz w:val="20"/>
          <w:szCs w:val="20"/>
          <w:color w:val="auto"/>
        </w:rPr>
      </w:pPr>
    </w:p>
    <w:p>
      <w:pPr>
        <w:ind w:right="60" w:hanging="11"/>
        <w:spacing w:after="0" w:line="264" w:lineRule="auto"/>
        <w:rPr>
          <w:sz w:val="20"/>
          <w:szCs w:val="20"/>
          <w:color w:val="auto"/>
        </w:rPr>
      </w:pPr>
      <w:r>
        <w:rPr>
          <w:rFonts w:ascii="Arial" w:cs="Arial" w:eastAsia="Arial" w:hAnsi="Arial"/>
          <w:sz w:val="18"/>
          <w:szCs w:val="18"/>
          <w:color w:val="auto"/>
        </w:rPr>
        <w:t>Segment revenues and purchases and related costs include intersegment amounts. Intersegment sales are conducted at posted tariff rates, rates similar to those charged to third parties or rates that we believe approximate market. For further discussion, see “Analysis of Operating Segments” under Item 7 of our 2013 Annual Report on Form 10-K.</w:t>
      </w:r>
    </w:p>
    <w:p>
      <w:pPr>
        <w:spacing w:after="0" w:line="181" w:lineRule="exact"/>
        <w:rPr>
          <w:sz w:val="20"/>
          <w:szCs w:val="20"/>
          <w:color w:val="auto"/>
        </w:rPr>
      </w:pPr>
    </w:p>
    <w:p>
      <w:pPr>
        <w:sectPr>
          <w:pgSz w:w="11900" w:h="16838" w:orient="portrait"/>
          <w:cols w:equalWidth="0" w:num="2">
            <w:col w:w="140" w:space="520"/>
            <w:col w:w="10800"/>
          </w:cols>
          <w:pgMar w:left="240" w:top="140" w:right="199" w:bottom="0" w:gutter="0" w:footer="0" w:header="0"/>
          <w:type w:val="continuous"/>
        </w:sectPr>
      </w:pPr>
    </w:p>
    <w:p>
      <w:pPr>
        <w:ind w:left="660" w:right="80" w:hanging="652"/>
        <w:spacing w:after="0" w:line="234" w:lineRule="auto"/>
        <w:tabs>
          <w:tab w:leader="none" w:pos="64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Supply and Logistics segment profit includes interest expense (related to hedged inventory purchases) of $4 million and $8 million for the three months ended September 30, 2014 and 2013, respectively, and $11 million and $21 million for the nine months ended September 30, 2014 and 2013, respectively.</w:t>
      </w:r>
    </w:p>
    <w:p>
      <w:pPr>
        <w:spacing w:after="0" w:line="168"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The following table reconciles segment profit to net income attributable to PAGP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6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2"/>
        </w:trPr>
        <w:tc>
          <w:tcPr>
            <w:tcW w:w="660" w:type="dxa"/>
            <w:vAlign w:val="bottom"/>
          </w:tcPr>
          <w:p>
            <w:pPr>
              <w:spacing w:after="0"/>
              <w:rPr>
                <w:sz w:val="12"/>
                <w:szCs w:val="12"/>
                <w:color w:val="auto"/>
              </w:rPr>
            </w:pPr>
          </w:p>
        </w:tc>
        <w:tc>
          <w:tcPr>
            <w:tcW w:w="36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2"/>
                <w:szCs w:val="12"/>
                <w:color w:val="auto"/>
              </w:rPr>
            </w:pPr>
          </w:p>
        </w:tc>
        <w:tc>
          <w:tcPr>
            <w:tcW w:w="540" w:type="dxa"/>
            <w:vAlign w:val="bottom"/>
          </w:tcPr>
          <w:p>
            <w:pPr>
              <w:spacing w:after="0"/>
              <w:rPr>
                <w:sz w:val="12"/>
                <w:szCs w:val="12"/>
                <w:color w:val="auto"/>
              </w:rPr>
            </w:pPr>
          </w:p>
        </w:tc>
      </w:tr>
      <w:tr>
        <w:trPr>
          <w:trHeight w:val="210"/>
        </w:trPr>
        <w:tc>
          <w:tcPr>
            <w:tcW w:w="6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3"/>
              </w:rPr>
              <w:t>Unallocated general and administrative expenses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w:t>
            </w:r>
          </w:p>
        </w:tc>
        <w:tc>
          <w:tcPr>
            <w:tcW w:w="5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c>
          <w:tcPr>
            <w:tcW w:w="5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Income before tax</w:t>
            </w: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5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02"/>
        </w:trPr>
        <w:tc>
          <w:tcPr>
            <w:tcW w:w="660" w:type="dxa"/>
            <w:vAlign w:val="bottom"/>
          </w:tcPr>
          <w:p>
            <w:pPr>
              <w:spacing w:after="0"/>
              <w:rPr>
                <w:sz w:val="17"/>
                <w:szCs w:val="17"/>
                <w:color w:val="auto"/>
              </w:rPr>
            </w:pPr>
          </w:p>
        </w:tc>
        <w:tc>
          <w:tcPr>
            <w:tcW w:w="3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r>
      <w:tr>
        <w:trPr>
          <w:trHeight w:val="230"/>
        </w:trPr>
        <w:tc>
          <w:tcPr>
            <w:tcW w:w="660" w:type="dxa"/>
            <w:vAlign w:val="bottom"/>
          </w:tcPr>
          <w:p>
            <w:pPr>
              <w:spacing w:after="0"/>
              <w:rPr>
                <w:sz w:val="20"/>
                <w:szCs w:val="20"/>
                <w:color w:val="auto"/>
              </w:rPr>
            </w:pPr>
          </w:p>
        </w:tc>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interests</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(1,067)</w:t>
            </w:r>
          </w:p>
        </w:tc>
        <w:tc>
          <w:tcPr>
            <w:tcW w:w="540" w:type="dxa"/>
            <w:vAlign w:val="bottom"/>
          </w:tcPr>
          <w:p>
            <w:pPr>
              <w:spacing w:after="0"/>
              <w:rPr>
                <w:sz w:val="20"/>
                <w:szCs w:val="20"/>
                <w:color w:val="auto"/>
              </w:rPr>
            </w:pPr>
          </w:p>
        </w:tc>
      </w:tr>
      <w:tr>
        <w:trPr>
          <w:trHeight w:val="210"/>
        </w:trPr>
        <w:tc>
          <w:tcPr>
            <w:tcW w:w="4340" w:type="dxa"/>
            <w:vAlign w:val="bottom"/>
            <w:gridSpan w:val="2"/>
          </w:tcPr>
          <w:p>
            <w:pPr>
              <w:ind w:left="660"/>
              <w:spacing w:after="0"/>
              <w:rPr>
                <w:sz w:val="20"/>
                <w:szCs w:val="20"/>
                <w:color w:val="auto"/>
              </w:rPr>
            </w:pPr>
            <w:r>
              <w:rPr>
                <w:rFonts w:ascii="Arial" w:cs="Arial" w:eastAsia="Arial" w:hAnsi="Arial"/>
                <w:sz w:val="18"/>
                <w:szCs w:val="18"/>
                <w:color w:val="auto"/>
              </w:rPr>
              <w:t>Net income attributable to PAGP</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6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type w:val="continuous"/>
        </w:sectPr>
      </w:pPr>
    </w:p>
    <w:p>
      <w:pPr>
        <w:spacing w:after="0" w:line="334"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40" w:right="199" w:bottom="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13—Related Party Transactions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Note 14 to our Consolidated Financial Statements included in Part IV of our 2013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Occidental Petroleum Corporation</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As of September 30, 2014, a subsidiary of Occidental Petroleum Corporation (“Oxy”) owned approximately 25% of the limited partner interests in AAP and had a representative on the board of directors of GP LLC and our general partner. During the three and nine months ended September 30, 2014 and 2013, we recognized sales and transportation revenues and purchased petroleum products from companies affiliated with Oxy. These transactions were conducted at posted tariff rates or prices that we believe approximate market. See detail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9"/>
              </w:rPr>
              <w:t>369</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Purchases and related costs</w:t>
            </w:r>
          </w:p>
        </w:tc>
        <w:tc>
          <w:tcPr>
            <w:tcW w:w="18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233</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currently have a netting arrangement with Oxy. Our gross receivable and payable amounts with affiliates of Oxy were as follows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14—Subsequent Events</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As of November 5, 2014, PAA entered into a definitive purchase and sale agreement with Oxy that provides for PAA’s purchase of Oxy’s 50% interest in BridgeTex Pipeline Company LLC (“BridgeTex”) for $1.075 billion. BridgeTex owns a 300,000 barrel-per-day crude oil pipeline (“BridgeTex Pipeline”) that extends from Colorado City in West Texas to Texas City. The remaining 50% interest in BridgeTex is owned by Magellan Midstream Partners, L.P. (“MMP”), which is also the operator of the BridgeTex Pipeline. Contemporaneous with the purchase by PAA of Oxy’s 50% interest in BridgeTex, BridgeTex has agreed to sell the southern leg of the pipeline system which runs from Houston to Texas City (the “Texas City Leg”) to MMP, and MMP has agreed to enter into a long term capacity lease with BridgeTex pursuant to which BridgeTex shippers will have access to capacity on the Texas City Leg.</w:t>
      </w:r>
    </w:p>
    <w:p>
      <w:pPr>
        <w:spacing w:after="0" w:line="16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addition to customary closing conditions and the contemporaneous consummation of the sale of the Texas City Leg and execution of the capacity lease, PAA’s acquisition of Oxy’s 50% interest in BridgeTex is subject to the completion by us, prior to December 31, 2014, of an underwritten secondary offering pursuant to which Oxy would sell a portion of its equity interest in us. In order to facilitate such offering and the overall transaction, (i) the board of directors of our general partner has agreed to an early release of the 15-month lock-up arrangement that was originally imposed on certain of our equity owners, including Oxy, in connection with our initial public offering in October 2013, (ii) certain affiliates of Kayne Anderson Investment Management, Inc., The Energy &amp; Minerals Group and PAA Management, L.P. have agreed to waive their participation rights in such offering and (iii) Oxy, certain affiliates of Kayne Anderson Investment Management, Inc., The Energy &amp; Minerals Group and PAA Management, L.P. have agreed to refrain from selling any of their respective interests in us for a period of up to 90 days following such offering. If an offering is not completed prior to December 31, 2014, both PAA and Oxy have the right to terminate the purchase and sale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The following discussion is intended to provide investors with an understanding of our financial condition and results of our operations, including periods prior to the closing of our IPO on October 21, 2013. Such analysis should be read in conjunction with our historical Consolidated Financial Statements and accompanying notes and Management’s Discussion and Analysis of Financial Condition and Results of Operations as presented in our 2013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and Internal Growth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ectPr>
          <w:pgSz w:w="11900" w:h="16838" w:orient="portrait"/>
          <w:cols w:equalWidth="0" w:num="1">
            <w:col w:w="11420"/>
          </w:cols>
          <w:pgMar w:left="240" w:top="337" w:right="239" w:bottom="0" w:gutter="0" w:footer="0" w:header="0"/>
        </w:sectPr>
      </w:pPr>
    </w:p>
    <w:bookmarkStart w:id="20" w:name="page21"/>
    <w:bookmarkEnd w:id="20"/>
    <w:p>
      <w:pPr>
        <w:spacing w:after="0" w:line="62" w:lineRule="exact"/>
        <w:rPr>
          <w:sz w:val="20"/>
          <w:szCs w:val="20"/>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are a Delaware limited partnership formed on July 17, 2013 to own an interest in the general partner and IDRs of PAA, a publicly traded Delaware limited partnership. Although we were formed as a limited partnership, we have elected to be taxed as a corporation for United States federal income tax purposes. As of September 30, 2014, we owned an approximate 22.4% limited partner interest in AAP, a Delaware limited partnership that directly owns all of PAA’s IDRs and indirectly owns the 2% general partner interest in PAA. AAP is the sole member of PAA GP, a Delaware limited liability company that directly holds the 2% general partner interest in PAA.</w:t>
      </w:r>
    </w:p>
    <w:p>
      <w:pPr>
        <w:spacing w:after="0" w:line="188"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Since we are the managing member of and control GP LLC, which in turn effectively controls PAA, we reflect our ownership in PAA and its subsidiaries on a consolidated basis in accordance with GAAP. Accordingly, our financial results are combined with those of GP LLC and PAA as well as with their subsidiaries. As such, our results of operations as discussed below do not differ materially from the results of operations of PAA.</w:t>
      </w:r>
    </w:p>
    <w:p>
      <w:pPr>
        <w:spacing w:after="0" w:line="16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PAA owns and operates midstream energy infrastructure and provides logistics services for crude oil,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Significant Activities</w:t>
      </w:r>
    </w:p>
    <w:p>
      <w:pPr>
        <w:spacing w:after="0" w:line="225"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During the first nine months of 2014, net income was $958 million, as compared to net income of $1.070 billion recognized during the first nine months of 2013. These results include total segment profit that was relatively flat between periods, but higher costs as discussed further below.</w:t>
      </w:r>
    </w:p>
    <w:p>
      <w:pPr>
        <w:spacing w:after="0" w:line="12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segment profit includes favorable results from our Transportation segment, primarily driven by the continued increase in North American crude oil production and our related, recently completed internal growth projects. These favorable results were offset by less favorable results from our NGL marketing activities in our Supply and Logistics segment, partially offset by a favorable period-over-period impact from the mark-to-market of derivative instruments. Our results were also impacted by decreased margins from our crude oil marketing activities; however, these unfavorable results were primarily attributable to the comparative first-quarter periods, as we experienced more favorable results in the second and third quarters of 2014. In addition, our Facilities and Supply and Logistics segments were negatively impacted by costs incurred in our natural gas storage activities to manage deliverability requirements in conjunction with the severe cold weather experienced during the first quarter of 2014.</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significant items during the period were:</w:t>
      </w:r>
    </w:p>
    <w:p>
      <w:pPr>
        <w:spacing w:after="0" w:line="225" w:lineRule="exact"/>
        <w:rPr>
          <w:sz w:val="20"/>
          <w:szCs w:val="20"/>
          <w:color w:val="auto"/>
        </w:rPr>
      </w:pPr>
    </w:p>
    <w:p>
      <w:pPr>
        <w:ind w:left="980" w:right="280" w:hanging="324"/>
        <w:spacing w:after="0" w:line="277"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depreciation and amortization expense resulting from internal growth projects completed since September 30, 2013 and accelerated depreciation on certain pipeline assets;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interest expense resulting from higher average debt outstanding during the 2014 period;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income tax expense resulting from higher year over year earnings from taxable Canadian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Internal Growth Projects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summarizes our capital expenditures for acquisitions, internal growth projects and maintenance capital for the periods indicated (in millions):</w:t>
      </w:r>
    </w:p>
    <w:p>
      <w:pPr>
        <w:spacing w:after="0" w:line="16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Nine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02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Acquisition capital</w:t>
            </w:r>
          </w:p>
        </w:tc>
        <w:tc>
          <w:tcPr>
            <w:tcW w:w="3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Internal growth projects</w:t>
            </w:r>
          </w:p>
        </w:tc>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1,552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1,253</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3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r>
      <w:tr>
        <w:trPr>
          <w:trHeight w:val="210"/>
        </w:trPr>
        <w:tc>
          <w:tcPr>
            <w:tcW w:w="5020" w:type="dxa"/>
            <w:vAlign w:val="bottom"/>
          </w:tcPr>
          <w:p>
            <w:pPr>
              <w:ind w:left="180"/>
              <w:spacing w:after="0"/>
              <w:rPr>
                <w:sz w:val="20"/>
                <w:szCs w:val="20"/>
                <w:color w:val="auto"/>
              </w:rPr>
            </w:pPr>
            <w:r>
              <w:rPr>
                <w:rFonts w:ascii="Arial" w:cs="Arial" w:eastAsia="Arial" w:hAnsi="Arial"/>
                <w:sz w:val="18"/>
                <w:szCs w:val="18"/>
                <w:color w:val="auto"/>
              </w:rPr>
              <w:t>Total</w:t>
            </w:r>
          </w:p>
        </w:tc>
        <w:tc>
          <w:tcPr>
            <w:tcW w:w="32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Growth Projects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our more notable projects in progress during 2014 and the forecasted expenditures for the year ending December 31, 2014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00" w:type="dxa"/>
            <w:vAlign w:val="bottom"/>
            <w:gridSpan w:val="2"/>
          </w:tcPr>
          <w:p>
            <w:pPr>
              <w:spacing w:after="0"/>
              <w:rPr>
                <w:sz w:val="20"/>
                <w:szCs w:val="20"/>
                <w:color w:val="auto"/>
              </w:rPr>
            </w:pPr>
            <w:r>
              <w:rPr>
                <w:rFonts w:ascii="Arial" w:cs="Arial" w:eastAsia="Arial" w:hAnsi="Arial"/>
                <w:sz w:val="14"/>
                <w:szCs w:val="14"/>
                <w:b w:val="1"/>
                <w:bCs w:val="1"/>
                <w:color w:val="auto"/>
              </w:rPr>
              <w:t>Projects</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r>
      <w:tr>
        <w:trPr>
          <w:trHeight w:val="210"/>
        </w:trPr>
        <w:tc>
          <w:tcPr>
            <w:tcW w:w="8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Permian Basin Area Projects</w:t>
            </w:r>
          </w:p>
        </w:tc>
        <w:tc>
          <w:tcPr>
            <w:tcW w:w="4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$425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Cactus Pipeline</w:t>
            </w: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350</w:t>
            </w:r>
          </w:p>
        </w:tc>
        <w:tc>
          <w:tcPr>
            <w:tcW w:w="160" w:type="dxa"/>
            <w:vAlign w:val="bottom"/>
          </w:tcPr>
          <w:p>
            <w:pPr>
              <w:spacing w:after="0"/>
              <w:rPr>
                <w:sz w:val="18"/>
                <w:szCs w:val="18"/>
                <w:color w:val="auto"/>
              </w:rPr>
            </w:pPr>
          </w:p>
        </w:tc>
      </w:tr>
      <w:tr>
        <w:trPr>
          <w:trHeight w:val="216"/>
        </w:trPr>
        <w:tc>
          <w:tcPr>
            <w:tcW w:w="93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Rail Terminal Projects </w:t>
            </w:r>
            <w:r>
              <w:rPr>
                <w:rFonts w:ascii="Arial" w:cs="Arial" w:eastAsia="Arial" w:hAnsi="Arial"/>
                <w:sz w:val="23"/>
                <w:szCs w:val="23"/>
                <w:color w:val="auto"/>
                <w:vertAlign w:val="superscript"/>
              </w:rPr>
              <w:t>(1)</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235</w:t>
            </w:r>
          </w:p>
        </w:tc>
        <w:tc>
          <w:tcPr>
            <w:tcW w:w="160" w:type="dxa"/>
            <w:vAlign w:val="bottom"/>
            <w:shd w:val="clear" w:color="auto" w:fill="CCEEFF"/>
          </w:tcPr>
          <w:p>
            <w:pPr>
              <w:spacing w:after="0"/>
              <w:rPr>
                <w:sz w:val="18"/>
                <w:szCs w:val="18"/>
                <w:color w:val="auto"/>
              </w:rPr>
            </w:pP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Ft. Sask Facility Projects / NGL Line</w:t>
            </w: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130</w:t>
            </w:r>
          </w:p>
        </w:tc>
        <w:tc>
          <w:tcPr>
            <w:tcW w:w="160" w:type="dxa"/>
            <w:vAlign w:val="bottom"/>
          </w:tcPr>
          <w:p>
            <w:pPr>
              <w:spacing w:after="0"/>
              <w:rPr>
                <w:sz w:val="18"/>
                <w:szCs w:val="18"/>
                <w:color w:val="auto"/>
              </w:rPr>
            </w:pPr>
          </w:p>
        </w:tc>
      </w:tr>
      <w:tr>
        <w:trPr>
          <w:trHeight w:val="216"/>
        </w:trPr>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Eagle Ford JV Project</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110</w:t>
            </w:r>
          </w:p>
        </w:tc>
        <w:tc>
          <w:tcPr>
            <w:tcW w:w="160" w:type="dxa"/>
            <w:vAlign w:val="bottom"/>
            <w:shd w:val="clear" w:color="auto" w:fill="CCEEFF"/>
          </w:tcPr>
          <w:p>
            <w:pPr>
              <w:spacing w:after="0"/>
              <w:rPr>
                <w:sz w:val="18"/>
                <w:szCs w:val="18"/>
                <w:color w:val="auto"/>
              </w:rPr>
            </w:pP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Western Oklahoma Extension</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160" w:type="dxa"/>
            <w:vAlign w:val="bottom"/>
          </w:tcPr>
          <w:p>
            <w:pPr>
              <w:spacing w:after="0"/>
              <w:rPr>
                <w:sz w:val="18"/>
                <w:szCs w:val="18"/>
                <w:color w:val="auto"/>
              </w:rPr>
            </w:pPr>
          </w:p>
        </w:tc>
      </w:tr>
      <w:tr>
        <w:trPr>
          <w:trHeight w:val="216"/>
        </w:trPr>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Mississippian Lime Pipeline</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60" w:type="dxa"/>
            <w:vAlign w:val="bottom"/>
            <w:shd w:val="clear" w:color="auto" w:fill="CCEEFF"/>
          </w:tcPr>
          <w:p>
            <w:pPr>
              <w:spacing w:after="0"/>
              <w:rPr>
                <w:sz w:val="18"/>
                <w:szCs w:val="18"/>
                <w:color w:val="auto"/>
              </w:rPr>
            </w:pP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White Cliffs Expansion</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60" w:type="dxa"/>
            <w:vAlign w:val="bottom"/>
          </w:tcPr>
          <w:p>
            <w:pPr>
              <w:spacing w:after="0"/>
              <w:rPr>
                <w:sz w:val="18"/>
                <w:szCs w:val="18"/>
                <w:color w:val="auto"/>
              </w:rPr>
            </w:pPr>
          </w:p>
        </w:tc>
      </w:tr>
      <w:tr>
        <w:trPr>
          <w:trHeight w:val="216"/>
        </w:trPr>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 63 Reactivation</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60" w:type="dxa"/>
            <w:vAlign w:val="bottom"/>
            <w:shd w:val="clear" w:color="auto" w:fill="CCEEFF"/>
          </w:tcPr>
          <w:p>
            <w:pPr>
              <w:spacing w:after="0"/>
              <w:rPr>
                <w:sz w:val="18"/>
                <w:szCs w:val="18"/>
                <w:color w:val="auto"/>
              </w:rPr>
            </w:pPr>
          </w:p>
        </w:tc>
      </w:tr>
      <w:tr>
        <w:trPr>
          <w:trHeight w:val="226"/>
        </w:trPr>
        <w:tc>
          <w:tcPr>
            <w:tcW w:w="9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Natural Gas Storage Expansions</w:t>
            </w:r>
          </w:p>
        </w:tc>
        <w:tc>
          <w:tcPr>
            <w:tcW w:w="19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35</w:t>
            </w:r>
          </w:p>
        </w:tc>
        <w:tc>
          <w:tcPr>
            <w:tcW w:w="160" w:type="dxa"/>
            <w:vAlign w:val="bottom"/>
            <w:tcBorders>
              <w:bottom w:val="single" w:sz="8" w:color="CCEEFF"/>
            </w:tcBorders>
          </w:tcPr>
          <w:p>
            <w:pPr>
              <w:spacing w:after="0"/>
              <w:rPr>
                <w:sz w:val="19"/>
                <w:szCs w:val="19"/>
                <w:color w:val="auto"/>
              </w:rPr>
            </w:pPr>
          </w:p>
        </w:tc>
      </w:tr>
    </w:tbl>
    <w:p>
      <w:pPr>
        <w:sectPr>
          <w:pgSz w:w="11900" w:h="16900" w:orient="portrait"/>
          <w:cols w:equalWidth="0" w:num="1">
            <w:col w:w="11420"/>
          </w:cols>
          <w:pgMar w:left="240" w:top="341" w:right="239" w:bottom="0" w:gutter="0" w:footer="0" w:header="0"/>
        </w:sectPr>
      </w:pPr>
    </w:p>
    <w:bookmarkStart w:id="21" w:name="page22"/>
    <w:bookmarkEnd w:id="2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Diamond Pipeline</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60" w:type="dxa"/>
            <w:vAlign w:val="bottom"/>
            <w:shd w:val="clear" w:color="auto" w:fill="CCEEFF"/>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St. James Facility Expansions</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16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Other Projects</w:t>
            </w:r>
          </w:p>
        </w:tc>
        <w:tc>
          <w:tcPr>
            <w:tcW w:w="1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505</w:t>
            </w:r>
          </w:p>
        </w:tc>
        <w:tc>
          <w:tcPr>
            <w:tcW w:w="160" w:type="dxa"/>
            <w:vAlign w:val="bottom"/>
            <w:shd w:val="clear" w:color="auto" w:fill="CCEEFF"/>
          </w:tcPr>
          <w:p>
            <w:pPr>
              <w:spacing w:after="0"/>
              <w:rPr>
                <w:sz w:val="18"/>
                <w:szCs w:val="18"/>
                <w:color w:val="auto"/>
              </w:rPr>
            </w:pPr>
          </w:p>
        </w:tc>
      </w:tr>
      <w:tr>
        <w:trPr>
          <w:trHeight w:val="210"/>
        </w:trPr>
        <w:tc>
          <w:tcPr>
            <w:tcW w:w="9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$2,050</w:t>
            </w:r>
          </w:p>
        </w:tc>
        <w:tc>
          <w:tcPr>
            <w:tcW w:w="16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(2)</w:t>
            </w:r>
          </w:p>
        </w:tc>
        <w:tc>
          <w:tcPr>
            <w:tcW w:w="1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-$100 + $100</w:t>
            </w:r>
          </w:p>
        </w:tc>
        <w:tc>
          <w:tcPr>
            <w:tcW w:w="160" w:type="dxa"/>
            <w:vAlign w:val="bottom"/>
            <w:shd w:val="clear" w:color="auto" w:fill="CCEEFF"/>
          </w:tcPr>
          <w:p>
            <w:pPr>
              <w:spacing w:after="0"/>
              <w:rPr>
                <w:sz w:val="18"/>
                <w:szCs w:val="18"/>
                <w:color w:val="auto"/>
              </w:rPr>
            </w:pPr>
          </w:p>
        </w:tc>
      </w:tr>
      <w:tr>
        <w:trPr>
          <w:trHeight w:val="210"/>
        </w:trPr>
        <w:tc>
          <w:tcPr>
            <w:tcW w:w="9300" w:type="dxa"/>
            <w:vAlign w:val="bottom"/>
          </w:tcPr>
          <w:p>
            <w:pPr>
              <w:ind w:left="180"/>
              <w:spacing w:after="0"/>
              <w:rPr>
                <w:sz w:val="20"/>
                <w:szCs w:val="20"/>
                <w:color w:val="auto"/>
              </w:rPr>
            </w:pPr>
            <w:r>
              <w:rPr>
                <w:rFonts w:ascii="Arial" w:cs="Arial" w:eastAsia="Arial" w:hAnsi="Arial"/>
                <w:sz w:val="18"/>
                <w:szCs w:val="18"/>
                <w:color w:val="auto"/>
              </w:rPr>
              <w:t>Total Projected Expansion Capital Expenditures</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$1,950 – $2,150</w:t>
            </w:r>
          </w:p>
        </w:tc>
        <w:tc>
          <w:tcPr>
            <w:tcW w:w="160" w:type="dxa"/>
            <w:vAlign w:val="bottom"/>
          </w:tcPr>
          <w:p>
            <w:pPr>
              <w:spacing w:after="0"/>
              <w:rPr>
                <w:sz w:val="18"/>
                <w:szCs w:val="18"/>
                <w:color w:val="auto"/>
              </w:rPr>
            </w:pPr>
          </w:p>
        </w:tc>
      </w:tr>
      <w:tr>
        <w:trPr>
          <w:trHeight w:val="20"/>
        </w:trPr>
        <w:tc>
          <w:tcPr>
            <w:tcW w:w="93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Includes projects located in or near Bakersfield, CA; Carr, CO; Van Hook, ND; and Kerrobert, Canada.</w:t>
      </w:r>
    </w:p>
    <w:p>
      <w:pPr>
        <w:spacing w:after="0" w:line="225" w:lineRule="exact"/>
        <w:rPr>
          <w:sz w:val="20"/>
          <w:szCs w:val="20"/>
          <w:color w:val="auto"/>
        </w:rPr>
      </w:pPr>
    </w:p>
    <w:p>
      <w:pPr>
        <w:ind w:left="20" w:right="660" w:hanging="11"/>
        <w:spacing w:after="0" w:line="277" w:lineRule="auto"/>
        <w:rPr>
          <w:sz w:val="20"/>
          <w:szCs w:val="20"/>
          <w:color w:val="auto"/>
        </w:rPr>
      </w:pPr>
      <w:r>
        <w:rPr>
          <w:rFonts w:ascii="Arial" w:cs="Arial" w:eastAsia="Arial" w:hAnsi="Arial"/>
          <w:sz w:val="18"/>
          <w:szCs w:val="18"/>
          <w:color w:val="auto"/>
        </w:rPr>
        <w:t>Potential variation to current capital costs estimates may result from changes to project design, final cost of materials and labor and timing of incurrence of costs due to uncontrollable factors such as permits, regulatory approvals and weather.</w:t>
      </w:r>
    </w:p>
    <w:p>
      <w:pPr>
        <w:spacing w:after="0" w:line="170"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140" w:space="500"/>
            <w:col w:w="10820"/>
          </w:cols>
          <w:pgMar w:left="240" w:top="140" w:right="19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(i) Transportation, (ii) Facilities and (iii) Supply and Logistics. Our Chief Operating Decision Maker (our Chief Executive Officer) evaluates such segment performance based on a variety of measures including segment profit, segment volumes, segment profit per barrel and maintenance capital investment. See Note 18 to our Consolidated Financial Statements included in Part IV of our 2013 Annual Report on Form 10-K for further discussion of how we evaluate segment profit.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6"/>
            <w:vMerge w:val="restart"/>
          </w:tcPr>
          <w:p>
            <w:pPr>
              <w:jc w:val="right"/>
              <w:ind w:right="500"/>
              <w:spacing w:after="0"/>
              <w:rPr>
                <w:sz w:val="20"/>
                <w:szCs w:val="20"/>
                <w:color w:val="auto"/>
              </w:rPr>
            </w:pPr>
            <w:r>
              <w:rPr>
                <w:rFonts w:ascii="Arial" w:cs="Arial" w:eastAsia="Arial" w:hAnsi="Arial"/>
                <w:sz w:val="14"/>
                <w:szCs w:val="14"/>
                <w:b w:val="1"/>
                <w:bCs w:val="1"/>
                <w:color w:val="auto"/>
                <w:w w:val="99"/>
              </w:rPr>
              <w:t>Three Months Ended</w:t>
            </w:r>
          </w:p>
        </w:tc>
        <w:tc>
          <w:tcPr>
            <w:tcW w:w="240" w:type="dxa"/>
            <w:vAlign w:val="bottom"/>
          </w:tcPr>
          <w:p>
            <w:pPr>
              <w:spacing w:after="0"/>
              <w:rPr>
                <w:sz w:val="14"/>
                <w:szCs w:val="14"/>
                <w:color w:val="auto"/>
              </w:rPr>
            </w:pPr>
          </w:p>
        </w:tc>
        <w:tc>
          <w:tcPr>
            <w:tcW w:w="1120" w:type="dxa"/>
            <w:vAlign w:val="bottom"/>
            <w:gridSpan w:val="3"/>
          </w:tcPr>
          <w:p>
            <w:pPr>
              <w:jc w:val="center"/>
              <w:ind w:left="134"/>
              <w:spacing w:after="0"/>
              <w:rPr>
                <w:sz w:val="20"/>
                <w:szCs w:val="20"/>
                <w:color w:val="auto"/>
              </w:rPr>
            </w:pPr>
            <w:r>
              <w:rPr>
                <w:rFonts w:ascii="Arial" w:cs="Arial" w:eastAsia="Arial" w:hAnsi="Arial"/>
                <w:sz w:val="14"/>
                <w:szCs w:val="14"/>
                <w:b w:val="1"/>
                <w:bCs w:val="1"/>
                <w:color w:val="auto"/>
                <w:w w:val="94"/>
              </w:rPr>
              <w:t>Favorable/</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6"/>
            <w:vMerge w:val="restart"/>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left="134"/>
              <w:spacing w:after="0"/>
              <w:rPr>
                <w:sz w:val="20"/>
                <w:szCs w:val="20"/>
                <w:color w:val="auto"/>
              </w:rPr>
            </w:pPr>
            <w:r>
              <w:rPr>
                <w:rFonts w:ascii="Arial" w:cs="Arial" w:eastAsia="Arial" w:hAnsi="Arial"/>
                <w:sz w:val="14"/>
                <w:szCs w:val="14"/>
                <w:b w:val="1"/>
                <w:bCs w:val="1"/>
                <w:color w:val="auto"/>
                <w:w w:val="94"/>
              </w:rPr>
              <w:t>Favorable/</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center"/>
              <w:ind w:left="134"/>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120" w:type="dxa"/>
            <w:vAlign w:val="bottom"/>
            <w:gridSpan w:val="3"/>
          </w:tcPr>
          <w:p>
            <w:pPr>
              <w:jc w:val="center"/>
              <w:ind w:left="134"/>
              <w:spacing w:after="0"/>
              <w:rPr>
                <w:sz w:val="20"/>
                <w:szCs w:val="20"/>
                <w:color w:val="auto"/>
              </w:rPr>
            </w:pPr>
            <w:r>
              <w:rPr>
                <w:rFonts w:ascii="Arial" w:cs="Arial" w:eastAsia="Arial" w:hAnsi="Arial"/>
                <w:sz w:val="14"/>
                <w:szCs w:val="14"/>
                <w:b w:val="1"/>
                <w:bCs w:val="1"/>
                <w:color w:val="auto"/>
                <w:w w:val="92"/>
              </w:rPr>
              <w:t>Variance</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left="154"/>
              <w:spacing w:after="0"/>
              <w:rPr>
                <w:sz w:val="20"/>
                <w:szCs w:val="20"/>
                <w:color w:val="auto"/>
              </w:rPr>
            </w:pPr>
            <w:r>
              <w:rPr>
                <w:rFonts w:ascii="Arial" w:cs="Arial" w:eastAsia="Arial" w:hAnsi="Arial"/>
                <w:sz w:val="14"/>
                <w:szCs w:val="14"/>
                <w:b w:val="1"/>
                <w:bCs w:val="1"/>
                <w:color w:val="auto"/>
                <w:w w:val="95"/>
              </w:rPr>
              <w:t>Variance</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w w:val="96"/>
              </w:rPr>
              <w:t>%</w:t>
            </w:r>
          </w:p>
        </w:tc>
        <w:tc>
          <w:tcPr>
            <w:tcW w:w="4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w w:val="96"/>
              </w:rPr>
              <w:t>%</w:t>
            </w:r>
          </w:p>
        </w:tc>
        <w:tc>
          <w:tcPr>
            <w:tcW w:w="34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Facilities segment profit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Supply and Logistics segment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profit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vMerge w:val="restart"/>
          </w:tcPr>
          <w:p>
            <w:pPr>
              <w:ind w:left="160"/>
              <w:spacing w:after="0"/>
              <w:rPr>
                <w:sz w:val="20"/>
                <w:szCs w:val="20"/>
                <w:color w:val="auto"/>
              </w:rPr>
            </w:pPr>
            <w:r>
              <w:rPr>
                <w:rFonts w:ascii="Arial" w:cs="Arial" w:eastAsia="Arial" w:hAnsi="Arial"/>
                <w:sz w:val="18"/>
                <w:szCs w:val="18"/>
                <w:color w:val="auto"/>
              </w:rPr>
              <w:t>Total segment profit</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530</w:t>
            </w: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408</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1,627</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1,640</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Unallocated general and</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expenses</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236</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958</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1,070</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2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income attributable to</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PAGP</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gridSpan w:val="2"/>
            <w:vMerge w:val="continue"/>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1"/>
                <w:szCs w:val="21"/>
                <w:color w:val="auto"/>
              </w:rPr>
            </w:pPr>
          </w:p>
        </w:tc>
        <w:tc>
          <w:tcPr>
            <w:tcW w:w="100" w:type="dxa"/>
            <w:vAlign w:val="bottom"/>
            <w:vMerge w:val="continue"/>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vMerge w:val="continue"/>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4"/>
              </w:rPr>
              <w:t>1,500%</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w w:val="98"/>
              </w:rPr>
              <w:t>1,400%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Net income attributable to PAGP:</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Basic and diluted net income per</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A share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88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N/A</w:t>
            </w:r>
          </w:p>
        </w:tc>
        <w:tc>
          <w:tcPr>
            <w:tcW w:w="8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ind w:left="160"/>
              <w:spacing w:after="0" w:line="201" w:lineRule="exact"/>
              <w:rPr>
                <w:sz w:val="20"/>
                <w:szCs w:val="20"/>
                <w:color w:val="auto"/>
              </w:rPr>
            </w:pPr>
            <w:r>
              <w:rPr>
                <w:rFonts w:ascii="Arial" w:cs="Arial" w:eastAsia="Arial" w:hAnsi="Arial"/>
                <w:sz w:val="18"/>
                <w:szCs w:val="18"/>
                <w:color w:val="auto"/>
              </w:rPr>
              <w:t>Basic and diluted weighted</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340"/>
              <w:spacing w:after="0"/>
              <w:rPr>
                <w:sz w:val="20"/>
                <w:szCs w:val="20"/>
                <w:color w:val="auto"/>
              </w:rPr>
            </w:pPr>
            <w:r>
              <w:rPr>
                <w:rFonts w:ascii="Arial" w:cs="Arial" w:eastAsia="Arial" w:hAnsi="Arial"/>
                <w:sz w:val="18"/>
                <w:szCs w:val="18"/>
                <w:color w:val="auto"/>
              </w:rPr>
              <w:t>average Class A shares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0"/>
                <w:szCs w:val="20"/>
                <w:color w:val="auto"/>
              </w:rPr>
            </w:pPr>
          </w:p>
        </w:tc>
        <w:tc>
          <w:tcPr>
            <w:tcW w:w="1120" w:type="dxa"/>
            <w:vAlign w:val="bottom"/>
            <w:gridSpan w:val="3"/>
          </w:tcPr>
          <w:p>
            <w:pPr>
              <w:ind w:left="280"/>
              <w:spacing w:after="0"/>
              <w:rPr>
                <w:sz w:val="20"/>
                <w:szCs w:val="20"/>
                <w:color w:val="auto"/>
              </w:rPr>
            </w:pPr>
            <w:r>
              <w:rPr>
                <w:rFonts w:ascii="Arial" w:cs="Arial" w:eastAsia="Arial" w:hAnsi="Arial"/>
                <w:sz w:val="18"/>
                <w:szCs w:val="18"/>
                <w:color w:val="auto"/>
              </w:rPr>
              <w:t>N/A</w:t>
            </w:r>
          </w:p>
        </w:tc>
        <w:tc>
          <w:tcPr>
            <w:tcW w:w="8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ind w:left="24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ind w:right="25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7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leases of pipeline capacity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operating results from our Transportation segment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Favorable/</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6"/>
            <w:vMerge w:val="restart"/>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left="142"/>
              <w:spacing w:after="0"/>
              <w:rPr>
                <w:sz w:val="20"/>
                <w:szCs w:val="20"/>
                <w:color w:val="auto"/>
              </w:rPr>
            </w:pPr>
            <w:r>
              <w:rPr>
                <w:rFonts w:ascii="Arial" w:cs="Arial" w:eastAsia="Arial" w:hAnsi="Arial"/>
                <w:sz w:val="14"/>
                <w:szCs w:val="14"/>
                <w:b w:val="1"/>
                <w:bCs w:val="1"/>
                <w:color w:val="auto"/>
                <w:w w:val="94"/>
              </w:rPr>
              <w:t>Favorable/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center"/>
              <w:ind w:left="142"/>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Variance</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left="142"/>
              <w:spacing w:after="0"/>
              <w:rPr>
                <w:sz w:val="20"/>
                <w:szCs w:val="20"/>
                <w:color w:val="auto"/>
              </w:rPr>
            </w:pPr>
            <w:r>
              <w:rPr>
                <w:rFonts w:ascii="Arial" w:cs="Arial" w:eastAsia="Arial" w:hAnsi="Arial"/>
                <w:sz w:val="14"/>
                <w:szCs w:val="14"/>
                <w:b w:val="1"/>
                <w:bCs w:val="1"/>
                <w:color w:val="auto"/>
                <w:w w:val="92"/>
              </w:rPr>
              <w:t>Variance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60"/>
              <w:spacing w:after="0"/>
              <w:rPr>
                <w:sz w:val="20"/>
                <w:szCs w:val="20"/>
                <w:color w:val="auto"/>
              </w:rPr>
            </w:pPr>
            <w:r>
              <w:rPr>
                <w:rFonts w:ascii="Arial" w:cs="Arial" w:eastAsia="Arial" w:hAnsi="Arial"/>
                <w:sz w:val="18"/>
                <w:szCs w:val="18"/>
                <w:color w:val="auto"/>
              </w:rPr>
              <w:t>Tariff activities</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372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329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18"/>
                <w:szCs w:val="18"/>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1,063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Trucking</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6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7"/>
        </w:trPr>
        <w:tc>
          <w:tcPr>
            <w:tcW w:w="2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40" w:right="199" w:bottom="0" w:gutter="0" w:footer="0" w:header="0"/>
          <w:type w:val="continuous"/>
        </w:sectPr>
      </w:pPr>
    </w:p>
    <w:bookmarkStart w:id="22" w:name="page23"/>
    <w:bookmarkEnd w:id="22"/>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gridSpan w:val="4"/>
          </w:tcPr>
          <w:p>
            <w:pPr>
              <w:spacing w:after="0"/>
              <w:rPr>
                <w:sz w:val="20"/>
                <w:szCs w:val="20"/>
                <w:color w:val="auto"/>
              </w:rPr>
            </w:pPr>
            <w:r>
              <w:rPr>
                <w:rFonts w:ascii="Arial" w:cs="Arial" w:eastAsia="Arial" w:hAnsi="Arial"/>
                <w:sz w:val="18"/>
                <w:szCs w:val="18"/>
                <w:color w:val="auto"/>
              </w:rPr>
              <w:t>Total transportation revenues</w:t>
            </w:r>
          </w:p>
        </w:tc>
        <w:tc>
          <w:tcPr>
            <w:tcW w:w="18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1,222</w:t>
            </w:r>
          </w:p>
        </w:tc>
        <w:tc>
          <w:tcPr>
            <w:tcW w:w="16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Trucking costs</w:t>
            </w:r>
          </w:p>
        </w:tc>
        <w:tc>
          <w:tcPr>
            <w:tcW w:w="180" w:type="dxa"/>
            <w:vAlign w:val="bottom"/>
            <w:tcBorders>
              <w:lef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3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ind w:left="140"/>
              <w:spacing w:after="0" w:line="216" w:lineRule="exact"/>
              <w:rPr>
                <w:sz w:val="20"/>
                <w:szCs w:val="20"/>
                <w:color w:val="auto"/>
              </w:rPr>
            </w:pPr>
            <w:r>
              <w:rPr>
                <w:rFonts w:ascii="Arial" w:cs="Arial" w:eastAsia="Arial" w:hAnsi="Arial"/>
                <w:sz w:val="18"/>
                <w:szCs w:val="18"/>
                <w:color w:val="auto"/>
              </w:rPr>
              <w:t>Field operating costs</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Equity-indexed compensation</w:t>
            </w:r>
          </w:p>
        </w:tc>
        <w:tc>
          <w:tcPr>
            <w:tcW w:w="18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tcBorders>
              <w:left w:val="single" w:sz="8" w:color="CCEEFF"/>
              <w:right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expense - operations</w:t>
            </w:r>
          </w:p>
        </w:tc>
        <w:tc>
          <w:tcPr>
            <w:tcW w:w="180" w:type="dxa"/>
            <w:vAlign w:val="bottom"/>
            <w:tcBorders>
              <w:left w:val="single" w:sz="8" w:color="CCEEFF"/>
            </w:tcBorders>
            <w:shd w:val="clear" w:color="auto" w:fill="CCEEFF"/>
          </w:tcPr>
          <w:p>
            <w:pPr>
              <w:spacing w:after="0"/>
              <w:rPr>
                <w:sz w:val="20"/>
                <w:szCs w:val="20"/>
                <w:color w:val="auto"/>
              </w:rPr>
            </w:pPr>
          </w:p>
        </w:tc>
        <w:tc>
          <w:tcPr>
            <w:tcW w:w="8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(33)%</w:t>
            </w:r>
          </w:p>
        </w:tc>
        <w:tc>
          <w:tcPr>
            <w:tcW w:w="1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Borders>
              <w:left w:val="single" w:sz="8" w:color="CCEEFF"/>
            </w:tcBorders>
            <w:shd w:val="clear" w:color="auto" w:fill="CCEEFF"/>
          </w:tcPr>
          <w:p>
            <w:pPr>
              <w:spacing w:after="0"/>
              <w:rPr>
                <w:sz w:val="20"/>
                <w:szCs w:val="20"/>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gridSpan w:val="3"/>
          </w:tcPr>
          <w:p>
            <w:pPr>
              <w:ind w:left="140"/>
              <w:spacing w:after="0" w:line="201" w:lineRule="exact"/>
              <w:rPr>
                <w:sz w:val="20"/>
                <w:szCs w:val="20"/>
                <w:color w:val="auto"/>
              </w:rPr>
            </w:pPr>
            <w:r>
              <w:rPr>
                <w:rFonts w:ascii="Arial" w:cs="Arial" w:eastAsia="Arial" w:hAnsi="Arial"/>
                <w:sz w:val="18"/>
                <w:szCs w:val="18"/>
                <w:color w:val="auto"/>
                <w:w w:val="91"/>
              </w:rPr>
              <w:t>Segment general and administrative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gridSpan w:val="3"/>
          </w:tcPr>
          <w:p>
            <w:pPr>
              <w:ind w:left="32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80" w:type="dxa"/>
            <w:vAlign w:val="bottom"/>
          </w:tcPr>
          <w:p>
            <w:pPr>
              <w:spacing w:after="0"/>
              <w:rPr>
                <w:sz w:val="20"/>
                <w:szCs w:val="20"/>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0"/>
                <w:szCs w:val="20"/>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0"/>
                <w:szCs w:val="20"/>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Equity-indexed compensation</w:t>
            </w:r>
          </w:p>
        </w:tc>
        <w:tc>
          <w:tcPr>
            <w:tcW w:w="18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tcBorders>
              <w:left w:val="single" w:sz="8" w:color="CCEEFF"/>
              <w:right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expense - general and</w:t>
            </w: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administrative</w:t>
            </w:r>
          </w:p>
        </w:tc>
        <w:tc>
          <w:tcPr>
            <w:tcW w:w="180" w:type="dxa"/>
            <w:vAlign w:val="bottom"/>
            <w:tcBorders>
              <w:left w:val="single" w:sz="8" w:color="CCEEFF"/>
            </w:tcBorders>
            <w:shd w:val="clear" w:color="auto" w:fill="CCEEFF"/>
          </w:tcPr>
          <w:p>
            <w:pPr>
              <w:spacing w:after="0"/>
              <w:rPr>
                <w:sz w:val="20"/>
                <w:szCs w:val="20"/>
                <w:color w:val="auto"/>
              </w:rPr>
            </w:pPr>
          </w:p>
        </w:tc>
        <w:tc>
          <w:tcPr>
            <w:tcW w:w="8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(40)%</w:t>
            </w:r>
          </w:p>
        </w:tc>
        <w:tc>
          <w:tcPr>
            <w:tcW w:w="1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tcBorders>
              <w:left w:val="single" w:sz="8" w:color="CCEEFF"/>
            </w:tcBorders>
            <w:shd w:val="clear" w:color="auto" w:fill="CCEEFF"/>
          </w:tcPr>
          <w:p>
            <w:pPr>
              <w:spacing w:after="0"/>
              <w:rPr>
                <w:sz w:val="20"/>
                <w:szCs w:val="20"/>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gridSpan w:val="3"/>
          </w:tcPr>
          <w:p>
            <w:pPr>
              <w:spacing w:after="0" w:line="201" w:lineRule="exact"/>
              <w:rPr>
                <w:sz w:val="20"/>
                <w:szCs w:val="20"/>
                <w:color w:val="auto"/>
              </w:rPr>
            </w:pPr>
            <w:r>
              <w:rPr>
                <w:rFonts w:ascii="Arial" w:cs="Arial" w:eastAsia="Arial" w:hAnsi="Arial"/>
                <w:sz w:val="18"/>
                <w:szCs w:val="18"/>
                <w:color w:val="auto"/>
              </w:rPr>
              <w:t>Equity earnings in unconsolidated</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gridSpan w:val="3"/>
          </w:tcPr>
          <w:p>
            <w:pPr>
              <w:ind w:left="160"/>
              <w:spacing w:after="0"/>
              <w:rPr>
                <w:sz w:val="20"/>
                <w:szCs w:val="20"/>
                <w:color w:val="auto"/>
              </w:rPr>
            </w:pPr>
            <w:r>
              <w:rPr>
                <w:rFonts w:ascii="Arial" w:cs="Arial" w:eastAsia="Arial" w:hAnsi="Arial"/>
                <w:sz w:val="18"/>
                <w:szCs w:val="18"/>
                <w:color w:val="auto"/>
              </w:rPr>
              <w:t>entities</w:t>
            </w:r>
          </w:p>
        </w:tc>
        <w:tc>
          <w:tcPr>
            <w:tcW w:w="1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0"/>
                <w:szCs w:val="20"/>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4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gridSpan w:val="3"/>
            <w:vMerge w:val="continue"/>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20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17%</w:t>
            </w:r>
          </w:p>
        </w:tc>
        <w:tc>
          <w:tcPr>
            <w:tcW w:w="14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vMerge w:val="continue"/>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Maintenance capital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gridSpan w:val="3"/>
            <w:vMerge w:val="continue"/>
          </w:tcPr>
          <w:p>
            <w:pPr>
              <w:spacing w:after="0"/>
              <w:rPr>
                <w:sz w:val="20"/>
                <w:szCs w:val="20"/>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220" w:type="dxa"/>
            <w:vAlign w:val="bottom"/>
            <w:vMerge w:val="continue"/>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160"/>
              <w:spacing w:after="0" w:line="196"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10"/>
              <w:spacing w:after="0" w:line="196" w:lineRule="exact"/>
              <w:rPr>
                <w:sz w:val="20"/>
                <w:szCs w:val="20"/>
                <w:color w:val="auto"/>
              </w:rPr>
            </w:pPr>
            <w:r>
              <w:rPr>
                <w:rFonts w:ascii="Arial" w:cs="Arial" w:eastAsia="Arial" w:hAnsi="Arial"/>
                <w:sz w:val="18"/>
                <w:szCs w:val="18"/>
                <w:color w:val="auto"/>
              </w:rPr>
              <w:t>(21)%</w:t>
            </w:r>
          </w:p>
        </w:tc>
        <w:tc>
          <w:tcPr>
            <w:tcW w:w="140" w:type="dxa"/>
            <w:vAlign w:val="bottom"/>
            <w:vMerge w:val="continue"/>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111</w:t>
            </w:r>
          </w:p>
        </w:tc>
        <w:tc>
          <w:tcPr>
            <w:tcW w:w="220" w:type="dxa"/>
            <w:vAlign w:val="bottom"/>
            <w:vMerge w:val="continue"/>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84</w:t>
            </w:r>
          </w:p>
        </w:tc>
        <w:tc>
          <w:tcPr>
            <w:tcW w:w="22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20" w:type="dxa"/>
            <w:vAlign w:val="bottom"/>
            <w:tcBorders>
              <w:top w:val="single" w:sz="8" w:color="CCEEFF"/>
              <w:bottom w:val="single" w:sz="8" w:color="CCEEFF"/>
            </w:tcBorders>
            <w:gridSpan w:val="3"/>
            <w:shd w:val="clear" w:color="auto" w:fill="CCEEFF"/>
          </w:tcPr>
          <w:p>
            <w:pPr>
              <w:spacing w:after="0" w:line="190" w:lineRule="exact"/>
              <w:rPr>
                <w:sz w:val="20"/>
                <w:szCs w:val="20"/>
                <w:color w:val="auto"/>
              </w:rPr>
            </w:pPr>
            <w:r>
              <w:rPr>
                <w:rFonts w:ascii="Arial" w:cs="Arial" w:eastAsia="Arial" w:hAnsi="Arial"/>
                <w:sz w:val="18"/>
                <w:szCs w:val="18"/>
                <w:color w:val="auto"/>
              </w:rPr>
              <w:t>Segment profit per barrel</w:t>
            </w:r>
          </w:p>
        </w:tc>
        <w:tc>
          <w:tcPr>
            <w:tcW w:w="180" w:type="dxa"/>
            <w:vAlign w:val="bottom"/>
            <w:tcBorders>
              <w:top w:val="single" w:sz="8" w:color="auto"/>
              <w:left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0.59</w:t>
            </w: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0.58</w:t>
            </w: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0.01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420" w:type="dxa"/>
            <w:vAlign w:val="bottom"/>
            <w:tcBorders>
              <w:top w:val="single" w:sz="8" w:color="CCEEFF"/>
              <w:left w:val="single" w:sz="8" w:color="CCEEFF"/>
              <w:bottom w:val="single" w:sz="8" w:color="CCEEFF"/>
              <w:right w:val="single" w:sz="8" w:color="auto"/>
            </w:tcBorders>
            <w:shd w:val="clear" w:color="auto" w:fill="CCEEFF"/>
          </w:tcPr>
          <w:p>
            <w:pPr>
              <w:jc w:val="right"/>
              <w:ind w:right="170"/>
              <w:spacing w:after="0" w:line="190" w:lineRule="exact"/>
              <w:rPr>
                <w:sz w:val="20"/>
                <w:szCs w:val="20"/>
                <w:color w:val="auto"/>
              </w:rPr>
            </w:pPr>
            <w:r>
              <w:rPr>
                <w:rFonts w:ascii="Arial" w:cs="Arial" w:eastAsia="Arial" w:hAnsi="Arial"/>
                <w:sz w:val="18"/>
                <w:szCs w:val="18"/>
                <w:color w:val="auto"/>
                <w:w w:val="87"/>
              </w:rPr>
              <w:t>%</w:t>
            </w:r>
          </w:p>
        </w:tc>
        <w:tc>
          <w:tcPr>
            <w:tcW w:w="1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0.60</w:t>
            </w: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0.52</w:t>
            </w: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280" w:type="dxa"/>
            <w:vAlign w:val="bottom"/>
            <w:tcBorders>
              <w:top w:val="single" w:sz="8" w:color="CCEEFF"/>
              <w:left w:val="single" w:sz="8" w:color="CCEEFF"/>
              <w:bottom w:val="single" w:sz="8" w:color="CCEEFF"/>
            </w:tcBorders>
            <w:shd w:val="clear" w:color="auto" w:fill="CCEEFF"/>
          </w:tcPr>
          <w:p>
            <w:pPr>
              <w:jc w:val="right"/>
              <w:ind w:right="30"/>
              <w:spacing w:after="0" w:line="190" w:lineRule="exact"/>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84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7"/>
            <w:vMerge w:val="restart"/>
          </w:tcPr>
          <w:p>
            <w:pPr>
              <w:jc w:val="right"/>
              <w:ind w:right="520"/>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24"/>
                <w:szCs w:val="24"/>
                <w:color w:val="auto"/>
              </w:rPr>
            </w:pPr>
          </w:p>
        </w:tc>
        <w:tc>
          <w:tcPr>
            <w:tcW w:w="1240" w:type="dxa"/>
            <w:vAlign w:val="bottom"/>
            <w:gridSpan w:val="5"/>
          </w:tcPr>
          <w:p>
            <w:pPr>
              <w:jc w:val="center"/>
              <w:ind w:left="292"/>
              <w:spacing w:after="0"/>
              <w:rPr>
                <w:sz w:val="20"/>
                <w:szCs w:val="20"/>
                <w:color w:val="auto"/>
              </w:rPr>
            </w:pPr>
            <w:r>
              <w:rPr>
                <w:rFonts w:ascii="Arial" w:cs="Arial" w:eastAsia="Arial" w:hAnsi="Arial"/>
                <w:sz w:val="14"/>
                <w:szCs w:val="14"/>
                <w:b w:val="1"/>
                <w:bCs w:val="1"/>
                <w:color w:val="auto"/>
                <w:w w:val="94"/>
              </w:rPr>
              <w:t>Favorable/</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7"/>
            <w:vMerge w:val="restart"/>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24"/>
                <w:szCs w:val="24"/>
                <w:color w:val="auto"/>
              </w:rPr>
            </w:pPr>
          </w:p>
        </w:tc>
        <w:tc>
          <w:tcPr>
            <w:tcW w:w="1220" w:type="dxa"/>
            <w:vAlign w:val="bottom"/>
            <w:gridSpan w:val="3"/>
          </w:tcPr>
          <w:p>
            <w:pPr>
              <w:jc w:val="center"/>
              <w:ind w:left="272"/>
              <w:spacing w:after="0"/>
              <w:rPr>
                <w:sz w:val="20"/>
                <w:szCs w:val="20"/>
                <w:color w:val="auto"/>
              </w:rPr>
            </w:pPr>
            <w:r>
              <w:rPr>
                <w:rFonts w:ascii="Arial" w:cs="Arial" w:eastAsia="Arial" w:hAnsi="Arial"/>
                <w:sz w:val="14"/>
                <w:szCs w:val="14"/>
                <w:b w:val="1"/>
                <w:bCs w:val="1"/>
                <w:color w:val="auto"/>
                <w:w w:val="94"/>
              </w:rPr>
              <w:t>Favorable/</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180" w:type="dxa"/>
            <w:vAlign w:val="bottom"/>
          </w:tcPr>
          <w:p>
            <w:pPr>
              <w:spacing w:after="0"/>
              <w:rPr>
                <w:sz w:val="12"/>
                <w:szCs w:val="12"/>
                <w:color w:val="auto"/>
              </w:rPr>
            </w:pPr>
          </w:p>
        </w:tc>
        <w:tc>
          <w:tcPr>
            <w:tcW w:w="192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tcPr>
          <w:p>
            <w:pPr>
              <w:jc w:val="center"/>
              <w:ind w:left="292"/>
              <w:spacing w:after="0" w:line="149" w:lineRule="exact"/>
              <w:rPr>
                <w:sz w:val="20"/>
                <w:szCs w:val="20"/>
                <w:color w:val="auto"/>
              </w:rPr>
            </w:pPr>
            <w:r>
              <w:rPr>
                <w:rFonts w:ascii="Arial" w:cs="Arial" w:eastAsia="Arial" w:hAnsi="Arial"/>
                <w:sz w:val="14"/>
                <w:szCs w:val="14"/>
                <w:b w:val="1"/>
                <w:bCs w:val="1"/>
                <w:color w:val="auto"/>
                <w:w w:val="95"/>
              </w:rPr>
              <w:t>(Unfavorable)</w:t>
            </w: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left="272"/>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4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240" w:type="dxa"/>
            <w:vAlign w:val="bottom"/>
            <w:gridSpan w:val="5"/>
          </w:tcPr>
          <w:p>
            <w:pPr>
              <w:jc w:val="center"/>
              <w:ind w:left="292"/>
              <w:spacing w:after="0"/>
              <w:rPr>
                <w:sz w:val="20"/>
                <w:szCs w:val="20"/>
                <w:color w:val="auto"/>
              </w:rPr>
            </w:pPr>
            <w:r>
              <w:rPr>
                <w:rFonts w:ascii="Arial" w:cs="Arial" w:eastAsia="Arial" w:hAnsi="Arial"/>
                <w:sz w:val="14"/>
                <w:szCs w:val="14"/>
                <w:b w:val="1"/>
                <w:bCs w:val="1"/>
                <w:color w:val="auto"/>
                <w:w w:val="92"/>
              </w:rPr>
              <w:t>Variance</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220" w:type="dxa"/>
            <w:vAlign w:val="bottom"/>
            <w:gridSpan w:val="3"/>
          </w:tcPr>
          <w:p>
            <w:pPr>
              <w:jc w:val="center"/>
              <w:ind w:left="272"/>
              <w:spacing w:after="0"/>
              <w:rPr>
                <w:sz w:val="20"/>
                <w:szCs w:val="20"/>
                <w:color w:val="auto"/>
              </w:rPr>
            </w:pPr>
            <w:r>
              <w:rPr>
                <w:rFonts w:ascii="Arial" w:cs="Arial" w:eastAsia="Arial" w:hAnsi="Arial"/>
                <w:sz w:val="14"/>
                <w:szCs w:val="14"/>
                <w:b w:val="1"/>
                <w:bCs w:val="1"/>
                <w:color w:val="auto"/>
                <w:w w:val="92"/>
              </w:rPr>
              <w:t>Variance</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8"/>
                <w:szCs w:val="8"/>
                <w:b w:val="1"/>
                <w:bCs w:val="1"/>
                <w:color w:val="auto"/>
              </w:rPr>
              <w:t>(4)</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rPr>
              <w:t>Volumes</w:t>
            </w:r>
          </w:p>
        </w:tc>
        <w:tc>
          <w:tcPr>
            <w:tcW w:w="50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Volumes</w:t>
            </w:r>
          </w:p>
        </w:tc>
        <w:tc>
          <w:tcPr>
            <w:tcW w:w="46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w w:val="96"/>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Tariff activities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left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lef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ind w:left="160"/>
              <w:spacing w:after="0"/>
              <w:rPr>
                <w:sz w:val="20"/>
                <w:szCs w:val="20"/>
                <w:color w:val="auto"/>
              </w:rPr>
            </w:pPr>
            <w:r>
              <w:rPr>
                <w:rFonts w:ascii="Arial" w:cs="Arial" w:eastAsia="Arial" w:hAnsi="Arial"/>
                <w:sz w:val="18"/>
                <w:szCs w:val="18"/>
                <w:color w:val="auto"/>
              </w:rPr>
              <w:t>Crude Oil Pipelines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All American</w:t>
            </w: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3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ind w:left="340"/>
              <w:spacing w:after="0"/>
              <w:rPr>
                <w:sz w:val="20"/>
                <w:szCs w:val="20"/>
                <w:color w:val="auto"/>
              </w:rPr>
            </w:pPr>
            <w:r>
              <w:rPr>
                <w:rFonts w:ascii="Arial" w:cs="Arial" w:eastAsia="Arial" w:hAnsi="Arial"/>
                <w:sz w:val="18"/>
                <w:szCs w:val="18"/>
                <w:color w:val="auto"/>
              </w:rPr>
              <w:t>Bakken Area Systems</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Basin / Mesa</w:t>
            </w:r>
          </w:p>
        </w:tc>
        <w:tc>
          <w:tcPr>
            <w:tcW w:w="18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734</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3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ind w:left="340"/>
              <w:spacing w:after="0"/>
              <w:rPr>
                <w:sz w:val="20"/>
                <w:szCs w:val="20"/>
                <w:color w:val="auto"/>
              </w:rPr>
            </w:pPr>
            <w:r>
              <w:rPr>
                <w:rFonts w:ascii="Arial" w:cs="Arial" w:eastAsia="Arial" w:hAnsi="Arial"/>
                <w:sz w:val="18"/>
                <w:szCs w:val="18"/>
                <w:color w:val="auto"/>
              </w:rPr>
              <w:t>Capline</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Eagle Ford Area Systems</w:t>
            </w:r>
          </w:p>
        </w:tc>
        <w:tc>
          <w:tcPr>
            <w:tcW w:w="18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108%</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3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ind w:left="340"/>
              <w:spacing w:after="0"/>
              <w:rPr>
                <w:sz w:val="20"/>
                <w:szCs w:val="20"/>
                <w:color w:val="auto"/>
              </w:rPr>
            </w:pPr>
            <w:r>
              <w:rPr>
                <w:rFonts w:ascii="Arial" w:cs="Arial" w:eastAsia="Arial" w:hAnsi="Arial"/>
                <w:sz w:val="18"/>
                <w:szCs w:val="18"/>
                <w:color w:val="auto"/>
              </w:rPr>
              <w:t>Line 63 / Line 2000</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Manito</w:t>
            </w: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3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ind w:left="340"/>
              <w:spacing w:after="0"/>
              <w:rPr>
                <w:sz w:val="20"/>
                <w:szCs w:val="20"/>
                <w:color w:val="auto"/>
              </w:rPr>
            </w:pPr>
            <w:r>
              <w:rPr>
                <w:rFonts w:ascii="Arial" w:cs="Arial" w:eastAsia="Arial" w:hAnsi="Arial"/>
                <w:sz w:val="18"/>
                <w:szCs w:val="18"/>
                <w:color w:val="auto"/>
              </w:rPr>
              <w:t>Mid-Continent Area Systems</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Permian Basin Area Systems</w:t>
            </w:r>
          </w:p>
        </w:tc>
        <w:tc>
          <w:tcPr>
            <w:tcW w:w="18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31%</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3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ind w:left="340"/>
              <w:spacing w:after="0"/>
              <w:rPr>
                <w:sz w:val="20"/>
                <w:szCs w:val="20"/>
                <w:color w:val="auto"/>
              </w:rPr>
            </w:pPr>
            <w:r>
              <w:rPr>
                <w:rFonts w:ascii="Arial" w:cs="Arial" w:eastAsia="Arial" w:hAnsi="Arial"/>
                <w:sz w:val="18"/>
                <w:szCs w:val="18"/>
                <w:color w:val="auto"/>
              </w:rPr>
              <w:t>Rainbow</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Rangeland</w:t>
            </w: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3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ind w:left="340"/>
              <w:spacing w:after="0"/>
              <w:rPr>
                <w:sz w:val="20"/>
                <w:szCs w:val="20"/>
                <w:color w:val="auto"/>
              </w:rPr>
            </w:pPr>
            <w:r>
              <w:rPr>
                <w:rFonts w:ascii="Arial" w:cs="Arial" w:eastAsia="Arial" w:hAnsi="Arial"/>
                <w:sz w:val="18"/>
                <w:szCs w:val="18"/>
                <w:color w:val="auto"/>
              </w:rPr>
              <w:t>Salt Lake City Area Systems</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South Saskatchewan</w:t>
            </w: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3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ind w:left="340"/>
              <w:spacing w:after="0"/>
              <w:rPr>
                <w:sz w:val="20"/>
                <w:szCs w:val="20"/>
                <w:color w:val="auto"/>
              </w:rPr>
            </w:pPr>
            <w:r>
              <w:rPr>
                <w:rFonts w:ascii="Arial" w:cs="Arial" w:eastAsia="Arial" w:hAnsi="Arial"/>
                <w:sz w:val="18"/>
                <w:szCs w:val="18"/>
                <w:color w:val="auto"/>
              </w:rPr>
              <w:t>White Cliffs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831</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3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ind w:left="160"/>
              <w:spacing w:after="0"/>
              <w:rPr>
                <w:sz w:val="20"/>
                <w:szCs w:val="20"/>
                <w:color w:val="auto"/>
              </w:rPr>
            </w:pPr>
            <w:r>
              <w:rPr>
                <w:rFonts w:ascii="Arial" w:cs="Arial" w:eastAsia="Arial" w:hAnsi="Arial"/>
                <w:sz w:val="18"/>
                <w:szCs w:val="18"/>
                <w:color w:val="auto"/>
              </w:rPr>
              <w:t>NGL Pipelines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Co-Ed</w:t>
            </w: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Refined Products Pipelines</w:t>
            </w: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3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gridSpan w:val="3"/>
            <w:vMerge w:val="restart"/>
          </w:tcPr>
          <w:p>
            <w:pPr>
              <w:spacing w:after="0"/>
              <w:rPr>
                <w:sz w:val="20"/>
                <w:szCs w:val="20"/>
                <w:color w:val="auto"/>
              </w:rPr>
            </w:pPr>
            <w:r>
              <w:rPr>
                <w:rFonts w:ascii="Arial" w:cs="Arial" w:eastAsia="Arial" w:hAnsi="Arial"/>
                <w:sz w:val="18"/>
                <w:szCs w:val="18"/>
                <w:color w:val="auto"/>
              </w:rPr>
              <w:t>Tariff activities total</w:t>
            </w: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4,095</w:t>
            </w:r>
          </w:p>
        </w:tc>
        <w:tc>
          <w:tcPr>
            <w:tcW w:w="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3,621</w:t>
            </w:r>
          </w:p>
        </w:tc>
        <w:tc>
          <w:tcPr>
            <w:tcW w:w="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474</w:t>
            </w:r>
          </w:p>
        </w:tc>
        <w:tc>
          <w:tcPr>
            <w:tcW w:w="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3,871</w:t>
            </w:r>
          </w:p>
        </w:tc>
        <w:tc>
          <w:tcPr>
            <w:tcW w:w="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3,549</w:t>
            </w:r>
          </w:p>
        </w:tc>
        <w:tc>
          <w:tcPr>
            <w:tcW w:w="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322</w:t>
            </w:r>
          </w:p>
        </w:tc>
        <w:tc>
          <w:tcPr>
            <w:tcW w:w="2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Trucking</w:t>
            </w:r>
          </w:p>
        </w:tc>
        <w:tc>
          <w:tcPr>
            <w:tcW w:w="18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3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Transportation segment total</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-4263390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-4263390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94"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8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20" w:right="240" w:hanging="11"/>
        <w:spacing w:after="0" w:line="277" w:lineRule="auto"/>
        <w:rPr>
          <w:sz w:val="20"/>
          <w:szCs w:val="20"/>
          <w:color w:val="auto"/>
        </w:rPr>
      </w:pPr>
      <w:r>
        <w:rPr>
          <w:rFonts w:ascii="Arial" w:cs="Arial" w:eastAsia="Arial" w:hAnsi="Arial"/>
          <w:sz w:val="18"/>
          <w:szCs w:val="18"/>
          <w:color w:val="auto"/>
        </w:rPr>
        <w:t>Volumes associated with assets employed through acquisitions and internal growth projects represent total volumes (attributable to our interest) for the number of days we employed the assets divided by the number of days in the period.</w:t>
      </w:r>
    </w:p>
    <w:p>
      <w:pPr>
        <w:spacing w:after="0" w:line="170" w:lineRule="exact"/>
        <w:rPr>
          <w:sz w:val="20"/>
          <w:szCs w:val="20"/>
          <w:color w:val="auto"/>
        </w:rPr>
      </w:pPr>
    </w:p>
    <w:p>
      <w:pPr>
        <w:sectPr>
          <w:pgSz w:w="11900" w:h="16894" w:orient="portrait"/>
          <w:cols w:equalWidth="0" w:num="2">
            <w:col w:w="140" w:space="500"/>
            <w:col w:w="10820"/>
          </w:cols>
          <w:pgMar w:left="240" w:top="140" w:right="199" w:bottom="0" w:gutter="0" w:footer="0" w:header="0"/>
          <w:type w:val="continuous"/>
        </w:sectPr>
      </w:pPr>
    </w:p>
    <w:p>
      <w:pPr>
        <w:ind w:right="300" w:firstLine="648"/>
        <w:spacing w:after="0" w:line="286" w:lineRule="auto"/>
        <w:rPr>
          <w:sz w:val="20"/>
          <w:szCs w:val="20"/>
          <w:color w:val="auto"/>
        </w:rPr>
      </w:pPr>
      <w:r>
        <w:rPr>
          <w:rFonts w:ascii="Arial" w:cs="Arial" w:eastAsia="Arial" w:hAnsi="Arial"/>
          <w:sz w:val="17"/>
          <w:szCs w:val="17"/>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Revenue from our pipeline capacity leases generally reflects a negotiated amount.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As noted in the table above, our total Transportation segment revenues, net of trucking costs, and volumes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for both the three and nine months ended September 30, 2014 compared to the three and nine months ended September 30, 2013. Our Transportation segment results for the comparative periods were impacted by the following:</w:t>
      </w:r>
    </w:p>
    <w:p>
      <w:pPr>
        <w:spacing w:after="0" w:line="181" w:lineRule="exact"/>
        <w:rPr>
          <w:sz w:val="20"/>
          <w:szCs w:val="20"/>
          <w:color w:val="auto"/>
        </w:rPr>
      </w:pPr>
    </w:p>
    <w:p>
      <w:pPr>
        <w:jc w:val="both"/>
        <w:ind w:left="660" w:right="200" w:hanging="328"/>
        <w:spacing w:after="0" w:line="342" w:lineRule="auto"/>
        <w:tabs>
          <w:tab w:leader="none" w:pos="6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North American Crude Oil Production and Related Expansion Projects — The increase in North American crude oil production has had a favorable impact on volumes and revenues on our existing pipeline systems and has also provided opportunities for midstream infrastructure development in</w:t>
      </w:r>
    </w:p>
    <w:p>
      <w:pPr>
        <w:sectPr>
          <w:pgSz w:w="11900" w:h="16894" w:orient="portrait"/>
          <w:cols w:equalWidth="0" w:num="1">
            <w:col w:w="11460"/>
          </w:cols>
          <w:pgMar w:left="240" w:top="140" w:right="199" w:bottom="0" w:gutter="0" w:footer="0" w:header="0"/>
          <w:type w:val="continuous"/>
        </w:sectPr>
      </w:pPr>
    </w:p>
    <w:bookmarkStart w:id="23" w:name="page24"/>
    <w:bookmarkEnd w:id="23"/>
    <w:p>
      <w:pPr>
        <w:spacing w:after="0" w:line="137"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production growth areas. The resulting increases in volumes for the three and nine months ended September 30, 2014 over the comparable 2013 periods were most notably on our Permian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right="180"/>
        <w:spacing w:after="0" w:line="264" w:lineRule="auto"/>
        <w:rPr>
          <w:sz w:val="20"/>
          <w:szCs w:val="20"/>
          <w:color w:val="auto"/>
        </w:rPr>
      </w:pPr>
      <w:r>
        <w:rPr>
          <w:rFonts w:ascii="Arial" w:cs="Arial" w:eastAsia="Arial" w:hAnsi="Arial"/>
          <w:sz w:val="18"/>
          <w:szCs w:val="18"/>
          <w:color w:val="auto"/>
        </w:rPr>
        <w:t>Basin, Eagle Ford and Mid-Continent Area Systems. We estimate that increased production combined with our recently completed internal growth projects increased revenues by $20 million and $70 million for the three and nine months ended September 30, 2014, respectively, compared to the three and nine months ended September 30, 2013.</w:t>
      </w:r>
    </w:p>
    <w:p>
      <w:pPr>
        <w:spacing w:after="0" w:line="181" w:lineRule="exact"/>
        <w:rPr>
          <w:sz w:val="20"/>
          <w:szCs w:val="20"/>
          <w:color w:val="auto"/>
        </w:rPr>
      </w:pPr>
    </w:p>
    <w:p>
      <w:pPr>
        <w:ind w:left="660" w:right="220" w:hanging="328"/>
        <w:spacing w:after="0" w:line="255" w:lineRule="auto"/>
        <w:tabs>
          <w:tab w:leader="none" w:pos="6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Allowance Revenue —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increased by $7 million and $37 million, respectively, for the three and nine months ended September 30, 2014 compared to the three and nine months ended September 30, 2013 driven primarily by higher volumes.</w:t>
      </w:r>
    </w:p>
    <w:p>
      <w:pPr>
        <w:spacing w:after="0" w:line="193" w:lineRule="exact"/>
        <w:rPr>
          <w:rFonts w:ascii="Arial" w:cs="Arial" w:eastAsia="Arial" w:hAnsi="Arial"/>
          <w:sz w:val="18"/>
          <w:szCs w:val="18"/>
          <w:color w:val="auto"/>
        </w:rPr>
      </w:pPr>
    </w:p>
    <w:p>
      <w:pPr>
        <w:ind w:left="660" w:right="220" w:hanging="328"/>
        <w:spacing w:after="0" w:line="302" w:lineRule="auto"/>
        <w:tabs>
          <w:tab w:leader="none" w:pos="6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Rate Changes — Revenues on our pipelines are impacted by various rate changes that may occur during the period. These primarily include the indexing of rates on our FERC regulated pipelines, rate increases or decreases on our intrastate and Canadian pipelines or other negotiated rate changes. We estimate that the net impact of rate changes on our pipelines increased revenues by $17 million and $30 million for the three and nine months ended September 30, 2014, respectively, compared to the three and nine months ended September 30, 2013.</w:t>
      </w:r>
    </w:p>
    <w:p>
      <w:pPr>
        <w:spacing w:after="0" w:line="154" w:lineRule="exact"/>
        <w:rPr>
          <w:rFonts w:ascii="Arial" w:cs="Arial" w:eastAsia="Arial" w:hAnsi="Arial"/>
          <w:sz w:val="16"/>
          <w:szCs w:val="16"/>
          <w:color w:val="auto"/>
        </w:rPr>
      </w:pPr>
    </w:p>
    <w:p>
      <w:pPr>
        <w:ind w:left="660" w:right="160" w:hanging="328"/>
        <w:spacing w:after="0" w:line="259" w:lineRule="auto"/>
        <w:tabs>
          <w:tab w:leader="none" w:pos="6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 of Refined Products Pipelines — We sold certain refined products pipeline systems and related assets in July 2013 and November 2013. As we did not own these assets during the three and nine months ended September 30, 2014, our revenues were lower by $7 million and $27 million, respectively, and volumes were lower by 54,000 and 88,000 barrels per day, respectively, as compared to the three and nine months ended September 30, 2013.</w:t>
      </w:r>
    </w:p>
    <w:p>
      <w:pPr>
        <w:spacing w:after="0" w:line="186" w:lineRule="exact"/>
        <w:rPr>
          <w:rFonts w:ascii="Arial" w:cs="Arial" w:eastAsia="Arial" w:hAnsi="Arial"/>
          <w:sz w:val="18"/>
          <w:szCs w:val="18"/>
          <w:color w:val="auto"/>
        </w:rPr>
      </w:pPr>
    </w:p>
    <w:p>
      <w:pPr>
        <w:ind w:left="660" w:right="60" w:hanging="328"/>
        <w:spacing w:after="0" w:line="272" w:lineRule="auto"/>
        <w:tabs>
          <w:tab w:leader="none" w:pos="624" w:val="left"/>
        </w:tabs>
        <w:numPr>
          <w:ilvl w:val="0"/>
          <w:numId w:val="20"/>
        </w:numPr>
        <w:rPr>
          <w:rFonts w:ascii="Arial" w:cs="Arial" w:eastAsia="Arial" w:hAnsi="Arial"/>
          <w:sz w:val="17"/>
          <w:szCs w:val="17"/>
          <w:color w:val="auto"/>
        </w:rPr>
      </w:pPr>
      <w:r>
        <w:rPr>
          <w:rFonts w:ascii="Arial" w:cs="Arial" w:eastAsia="Arial" w:hAnsi="Arial"/>
          <w:sz w:val="17"/>
          <w:szCs w:val="17"/>
          <w:color w:val="auto"/>
        </w:rPr>
        <w:t>Foreign Exchange Impact — Revenues and expenses from our Canadian based subsidiaries, which use the Canadian dollar as their functional currency, are translated at the prevailing average exchange rates for each month. The average CAD to USD exchange rates for the three months ended September 30, 2014 and 2013 were $1.09 CAD: $1.00 USD and $1.04 CAD: $1.00 USD, respectively. The average CAD to USD exchange rates for the nine months ended September 30, 2014 and 2013 were $1.09 CAD: $1.00 USD and $1.02 CAD: $1.00 USD, respectively. Therefore, we estimate that revenues from our Canadian pipeline systems and trucking operations were unfavorably impacted by $5 million and $20 million for the three and nine months ended September 30, 2014, respectively, compared to the three and nine months ended September 30, 2013 due to the depreciation of the Canadian dollar relative to the U.S. dollar.</w:t>
      </w:r>
    </w:p>
    <w:p>
      <w:pPr>
        <w:spacing w:after="0" w:line="178" w:lineRule="exact"/>
        <w:rPr>
          <w:sz w:val="20"/>
          <w:szCs w:val="20"/>
          <w:color w:val="auto"/>
        </w:rPr>
      </w:pPr>
    </w:p>
    <w:p>
      <w:pPr>
        <w:ind w:right="220" w:firstLine="648"/>
        <w:spacing w:after="0" w:line="288" w:lineRule="auto"/>
        <w:rPr>
          <w:sz w:val="20"/>
          <w:szCs w:val="20"/>
          <w:color w:val="auto"/>
        </w:rPr>
      </w:pPr>
      <w:r>
        <w:rPr>
          <w:rFonts w:ascii="Arial" w:cs="Arial" w:eastAsia="Arial" w:hAnsi="Arial"/>
          <w:sz w:val="16"/>
          <w:szCs w:val="16"/>
          <w:color w:val="auto"/>
        </w:rPr>
        <w:t>Additional noteworthy volume and revenue variances on our pipelines for the three and nine months ended September 30, 2014 compared to the three and nine months ended September 30, 2013 were (i) increased volumes and revenues on our Rangeland, South Saskatchewan and Co-Ed pipelines, as these pipelines were shut down during a portion of the second and third quarters of 2013 due to high river flow rates and flooding in the surrounding area,</w:t>
      </w:r>
    </w:p>
    <w:p>
      <w:pPr>
        <w:ind w:right="140" w:firstLine="8"/>
        <w:spacing w:after="0" w:line="287" w:lineRule="auto"/>
        <w:tabs>
          <w:tab w:leader="none" w:pos="26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incremental volumes and revenues from our Pascagoula, Wascana and Bakken North pipelines, which were placed into service during the second quarter of 2014, (iii) incremental revenues from increased pumpover volumes at our Basin pipeline terminal, (iv) decreased volumes and revenues on our Rainbow pipeline due to (a) lower producer volumes and (b) operational issues during September 2014, (v) higher revenues resulting from a reclassification of certain of our Canadian storage facilities to our Transportation segment during the second quarter of 2014, (vi) increased volumes and revenues on our Line 2000 pipeline for the three-month comparable period due to increased refiner demand for heavy volumes, (vii) increased volumes and revenues on our Capline pipeline for the three-month comparative period due to the timing of a refinery turnaround, which occurred in the third quarter of 2013 and (viii) decreased volumes and revenues on certain of our NGL pipelines due to (a) the discontinuation in the fourth quarter of 2013 of an agreement to transport volumes on a pipeline and (b) the impact of netting joint venture related volumes to our share on a pipeline during 2014, which did not affect revenues.</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(excluding equity-indexed compensation expenses) increased during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2014 compared to the three and nine months ended September 30, 2013 due to (i) a change in classification of certain costs from General and Administrative expenses, (ii) increased asset integrity spending, (iii) higher utility costs associated with increased throughput volumes and (iv) operational issues related to crude oil contamination. The increase in field operating costs was not as pronounced for the comparative nine-month periods due to higher environmental remediation costs in 2013.</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(excluding equity-indexed compensation expenses) decreased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nine months ended September 30, 2014 compared to the three and nine months ended September 30, 2013 primarily due to a change in classification of certain costs to Field Operating Costs.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Maintenance Capital. </w:t>
      </w:r>
      <w:r>
        <w:rPr>
          <w:rFonts w:ascii="Arial" w:cs="Arial" w:eastAsia="Arial" w:hAnsi="Arial"/>
          <w:sz w:val="17"/>
          <w:szCs w:val="17"/>
          <w:color w:val="auto"/>
        </w:rPr>
        <w:t>Maintenance capital consists of capital expenditures for the replacement of partially or fully depreciated assets in order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maintain the operating and/or earnings capacity of our existing assets. The increase in maintenance capital for the three and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2014 compared to the three and nine months ended September 30, 2013 is primarily due to increased investments on integrity-related projects.</w:t>
      </w:r>
    </w:p>
    <w:p>
      <w:pPr>
        <w:spacing w:after="0" w:line="23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Equity-Indexed Compensation Expense</w:t>
      </w:r>
      <w:r>
        <w:rPr>
          <w:rFonts w:ascii="Arial" w:cs="Arial" w:eastAsia="Arial" w:hAnsi="Arial"/>
          <w:sz w:val="17"/>
          <w:szCs w:val="17"/>
          <w:color w:val="auto"/>
        </w:rPr>
        <w:t>. On a consolidated basis across all segments, equity-indexed compensation expense increased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2014 compared to the same period in 2013, primarily due to a smaller impact of the decrease in PAA unit price during the period compared to the impact of the decrease in PAA unit price for the same period in 2013. Consolidated equity-indexed compensation expense decreased for the nine months ended September 30, 2014 compared to the same period in 2013, primarily due to a less significant impact of the increase in PAA unit price during the nine months ended September 30, 2014 compared to the same period in 2013.</w:t>
      </w:r>
    </w:p>
    <w:p>
      <w:pPr>
        <w:spacing w:after="0" w:line="173"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Allocations of equity-indexed compensation expense vary over time (i) between field operating costs and general and administrative expenses and (ii) between segments and could result in variances in those expense categories or segments that differ from the consolidated variance explanations above. See</w:t>
      </w:r>
    </w:p>
    <w:p>
      <w:pPr>
        <w:sectPr>
          <w:pgSz w:w="11900" w:h="16975" w:orient="portrait"/>
          <w:cols w:equalWidth="0" w:num="1">
            <w:col w:w="11420"/>
          </w:cols>
          <w:pgMar w:left="240" w:top="125" w:right="239" w:bottom="0" w:gutter="0" w:footer="0" w:header="0"/>
        </w:sectPr>
      </w:pPr>
    </w:p>
    <w:bookmarkStart w:id="24" w:name="page25"/>
    <w:bookmarkEnd w:id="24"/>
    <w:p>
      <w:pPr>
        <w:ind w:right="440"/>
        <w:spacing w:after="0" w:line="277" w:lineRule="auto"/>
        <w:rPr>
          <w:sz w:val="20"/>
          <w:szCs w:val="20"/>
          <w:color w:val="auto"/>
        </w:rPr>
      </w:pPr>
      <w:r>
        <w:rPr>
          <w:rFonts w:ascii="Arial" w:cs="Arial" w:eastAsia="Arial" w:hAnsi="Arial"/>
          <w:sz w:val="18"/>
          <w:szCs w:val="18"/>
          <w:color w:val="auto"/>
        </w:rPr>
        <w:t>Note 15 to our Consolidated Financial Statements included in Part IV of our 2013 Annual Report on Form 10-K for additional information regarding our equity-indexed compensation plans.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Equity Earnings in Unconsolidated Entities</w:t>
      </w:r>
      <w:r>
        <w:rPr>
          <w:rFonts w:ascii="Arial" w:cs="Arial" w:eastAsia="Arial" w:hAnsi="Arial"/>
          <w:sz w:val="18"/>
          <w:szCs w:val="18"/>
          <w:color w:val="auto"/>
        </w:rPr>
        <w:t>. The favorable variance in equity earnings in unconsolidated entities for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2014 compared to the three and nine months ended September 30, 2013 was largely due to increased throughput on the Eagle Ford joint venture pipeline as a result of increased production, as discussed above, and increased throughput on the White Cliffs pipeline due to an expansion of the pipeline that was placed into service in July 2014.</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operating results from our Facilities segment for the periods indicated: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4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w w:val="94"/>
              </w:rPr>
              <w:t>Favorable/</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vMerge w:val="restart"/>
          </w:tcPr>
          <w:p>
            <w:pPr>
              <w:jc w:val="center"/>
              <w:ind w:right="400"/>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4"/>
                <w:szCs w:val="14"/>
                <w:color w:val="auto"/>
              </w:rPr>
            </w:pPr>
          </w:p>
        </w:tc>
        <w:tc>
          <w:tcPr>
            <w:tcW w:w="1220" w:type="dxa"/>
            <w:vAlign w:val="bottom"/>
            <w:gridSpan w:val="3"/>
          </w:tcPr>
          <w:p>
            <w:pPr>
              <w:jc w:val="center"/>
              <w:ind w:left="276"/>
              <w:spacing w:after="0"/>
              <w:rPr>
                <w:sz w:val="20"/>
                <w:szCs w:val="20"/>
                <w:color w:val="auto"/>
              </w:rPr>
            </w:pPr>
            <w:r>
              <w:rPr>
                <w:rFonts w:ascii="Arial" w:cs="Arial" w:eastAsia="Arial" w:hAnsi="Arial"/>
                <w:sz w:val="14"/>
                <w:szCs w:val="14"/>
                <w:b w:val="1"/>
                <w:bCs w:val="1"/>
                <w:color w:val="auto"/>
                <w:w w:val="94"/>
              </w:rPr>
              <w:t>Favorable/</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180" w:type="dxa"/>
            <w:vAlign w:val="bottom"/>
          </w:tcPr>
          <w:p>
            <w:pPr>
              <w:spacing w:after="0"/>
              <w:rPr>
                <w:sz w:val="12"/>
                <w:szCs w:val="12"/>
                <w:color w:val="auto"/>
              </w:rPr>
            </w:pPr>
          </w:p>
        </w:tc>
        <w:tc>
          <w:tcPr>
            <w:tcW w:w="190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left="296"/>
              <w:spacing w:after="0" w:line="149" w:lineRule="exact"/>
              <w:rPr>
                <w:sz w:val="20"/>
                <w:szCs w:val="20"/>
                <w:color w:val="auto"/>
              </w:rPr>
            </w:pPr>
            <w:r>
              <w:rPr>
                <w:rFonts w:ascii="Arial" w:cs="Arial" w:eastAsia="Arial" w:hAnsi="Arial"/>
                <w:sz w:val="14"/>
                <w:szCs w:val="14"/>
                <w:b w:val="1"/>
                <w:bCs w:val="1"/>
                <w:color w:val="auto"/>
                <w:w w:val="95"/>
              </w:rPr>
              <w:t>(Unfavorable)</w:t>
            </w: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5"/>
          </w:tcPr>
          <w:p>
            <w:pPr>
              <w:jc w:val="center"/>
              <w:ind w:right="29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24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w w:val="92"/>
              </w:rPr>
              <w:t>Variance</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220" w:type="dxa"/>
            <w:vAlign w:val="bottom"/>
            <w:gridSpan w:val="3"/>
          </w:tcPr>
          <w:p>
            <w:pPr>
              <w:jc w:val="center"/>
              <w:ind w:left="276"/>
              <w:spacing w:after="0"/>
              <w:rPr>
                <w:sz w:val="20"/>
                <w:szCs w:val="20"/>
                <w:color w:val="auto"/>
              </w:rPr>
            </w:pPr>
            <w:r>
              <w:rPr>
                <w:rFonts w:ascii="Arial" w:cs="Arial" w:eastAsia="Arial" w:hAnsi="Arial"/>
                <w:sz w:val="14"/>
                <w:szCs w:val="14"/>
                <w:b w:val="1"/>
                <w:bCs w:val="1"/>
                <w:color w:val="auto"/>
                <w:w w:val="92"/>
              </w:rPr>
              <w:t>Variance</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line="216" w:lineRule="exact"/>
              <w:rPr>
                <w:sz w:val="20"/>
                <w:szCs w:val="20"/>
                <w:color w:val="auto"/>
              </w:rPr>
            </w:pPr>
            <w:r>
              <w:rPr>
                <w:rFonts w:ascii="Arial" w:cs="Arial" w:eastAsia="Arial" w:hAnsi="Arial"/>
                <w:sz w:val="18"/>
                <w:szCs w:val="18"/>
                <w:color w:val="auto"/>
              </w:rPr>
              <w:t xml:space="preserve">Natural gas sales </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Storage related costs (natural gas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related)</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(125)%</w:t>
            </w:r>
          </w:p>
        </w:tc>
        <w:tc>
          <w:tcPr>
            <w:tcW w:w="1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line="216" w:lineRule="exact"/>
              <w:rPr>
                <w:sz w:val="20"/>
                <w:szCs w:val="20"/>
                <w:color w:val="auto"/>
              </w:rPr>
            </w:pPr>
            <w:r>
              <w:rPr>
                <w:rFonts w:ascii="Arial" w:cs="Arial" w:eastAsia="Arial" w:hAnsi="Arial"/>
                <w:sz w:val="18"/>
                <w:szCs w:val="18"/>
                <w:color w:val="auto"/>
              </w:rPr>
              <w:t>Natural gas sales costs</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40" w:type="dxa"/>
            <w:vAlign w:val="bottom"/>
            <w:gridSpan w:val="3"/>
          </w:tcPr>
          <w:p>
            <w:pPr>
              <w:spacing w:after="0" w:line="201" w:lineRule="exact"/>
              <w:rPr>
                <w:sz w:val="20"/>
                <w:szCs w:val="20"/>
                <w:color w:val="auto"/>
              </w:rPr>
            </w:pPr>
            <w:r>
              <w:rPr>
                <w:rFonts w:ascii="Arial" w:cs="Arial" w:eastAsia="Arial" w:hAnsi="Arial"/>
                <w:sz w:val="18"/>
                <w:szCs w:val="18"/>
                <w:color w:val="auto"/>
                <w:w w:val="91"/>
              </w:rPr>
              <w:t>Equity-indexed compensation expense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gridSpan w:val="3"/>
          </w:tcPr>
          <w:p>
            <w:pPr>
              <w:ind w:left="180"/>
              <w:spacing w:after="0"/>
              <w:rPr>
                <w:sz w:val="20"/>
                <w:szCs w:val="20"/>
                <w:color w:val="auto"/>
              </w:rPr>
            </w:pPr>
            <w:r>
              <w:rPr>
                <w:rFonts w:ascii="Arial" w:cs="Arial" w:eastAsia="Arial" w:hAnsi="Arial"/>
                <w:sz w:val="18"/>
                <w:szCs w:val="18"/>
                <w:color w:val="auto"/>
              </w:rPr>
              <w:t>- operations</w:t>
            </w:r>
          </w:p>
        </w:tc>
        <w:tc>
          <w:tcPr>
            <w:tcW w:w="1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Segment general and administrative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gridSpan w:val="3"/>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(3) (4)</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40" w:type="dxa"/>
            <w:vAlign w:val="bottom"/>
            <w:gridSpan w:val="3"/>
          </w:tcPr>
          <w:p>
            <w:pPr>
              <w:spacing w:after="0" w:line="201" w:lineRule="exact"/>
              <w:rPr>
                <w:sz w:val="20"/>
                <w:szCs w:val="20"/>
                <w:color w:val="auto"/>
              </w:rPr>
            </w:pPr>
            <w:r>
              <w:rPr>
                <w:rFonts w:ascii="Arial" w:cs="Arial" w:eastAsia="Arial" w:hAnsi="Arial"/>
                <w:sz w:val="18"/>
                <w:szCs w:val="18"/>
                <w:color w:val="auto"/>
                <w:w w:val="91"/>
              </w:rPr>
              <w:t>Equity-indexed compensation expense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gridSpan w:val="3"/>
          </w:tcPr>
          <w:p>
            <w:pPr>
              <w:ind w:left="180"/>
              <w:spacing w:after="0"/>
              <w:rPr>
                <w:sz w:val="20"/>
                <w:szCs w:val="20"/>
                <w:color w:val="auto"/>
              </w:rPr>
            </w:pPr>
            <w:r>
              <w:rPr>
                <w:rFonts w:ascii="Arial" w:cs="Arial" w:eastAsia="Arial" w:hAnsi="Arial"/>
                <w:sz w:val="18"/>
                <w:szCs w:val="18"/>
                <w:color w:val="auto"/>
              </w:rPr>
              <w:t>- general and administrative</w:t>
            </w:r>
          </w:p>
        </w:tc>
        <w:tc>
          <w:tcPr>
            <w:tcW w:w="1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gridSpan w:val="3"/>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CCEEFF"/>
            </w:tcBorders>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Maintenance capital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40" w:type="dxa"/>
            <w:vAlign w:val="bottom"/>
            <w:gridSpan w:val="3"/>
            <w:vMerge w:val="continue"/>
          </w:tcPr>
          <w:p>
            <w:pPr>
              <w:spacing w:after="0"/>
              <w:rPr>
                <w:sz w:val="20"/>
                <w:szCs w:val="20"/>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14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20" w:type="dxa"/>
            <w:vAlign w:val="bottom"/>
            <w:vMerge w:val="continue"/>
          </w:tcPr>
          <w:p>
            <w:pPr>
              <w:spacing w:after="0"/>
              <w:rPr>
                <w:sz w:val="20"/>
                <w:szCs w:val="20"/>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30"/>
              <w:spacing w:after="0" w:line="196" w:lineRule="exact"/>
              <w:rPr>
                <w:sz w:val="20"/>
                <w:szCs w:val="20"/>
                <w:color w:val="auto"/>
              </w:rPr>
            </w:pPr>
            <w:r>
              <w:rPr>
                <w:rFonts w:ascii="Arial" w:cs="Arial" w:eastAsia="Arial" w:hAnsi="Arial"/>
                <w:sz w:val="18"/>
                <w:szCs w:val="18"/>
                <w:color w:val="auto"/>
              </w:rPr>
              <w:t>(217)%</w:t>
            </w:r>
          </w:p>
        </w:tc>
        <w:tc>
          <w:tcPr>
            <w:tcW w:w="140" w:type="dxa"/>
            <w:vAlign w:val="bottom"/>
            <w:vMerge w:val="continue"/>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20" w:type="dxa"/>
            <w:vAlign w:val="bottom"/>
            <w:vMerge w:val="continue"/>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2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840" w:type="dxa"/>
            <w:vAlign w:val="bottom"/>
            <w:tcBorders>
              <w:top w:val="single" w:sz="8" w:color="CCEEFF"/>
              <w:bottom w:val="single" w:sz="8" w:color="CCEEFF"/>
            </w:tcBorders>
            <w:gridSpan w:val="3"/>
            <w:shd w:val="clear" w:color="auto" w:fill="CCEEFF"/>
          </w:tcPr>
          <w:p>
            <w:pPr>
              <w:spacing w:after="0" w:line="190" w:lineRule="exact"/>
              <w:rPr>
                <w:sz w:val="20"/>
                <w:szCs w:val="20"/>
                <w:color w:val="auto"/>
              </w:rPr>
            </w:pPr>
            <w:r>
              <w:rPr>
                <w:rFonts w:ascii="Arial" w:cs="Arial" w:eastAsia="Arial" w:hAnsi="Arial"/>
                <w:sz w:val="18"/>
                <w:szCs w:val="18"/>
                <w:color w:val="auto"/>
              </w:rPr>
              <w:t>Segment profit per barrel</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280" w:type="dxa"/>
            <w:vAlign w:val="bottom"/>
            <w:tcBorders>
              <w:top w:val="single" w:sz="8" w:color="CCEEFF"/>
              <w:bottom w:val="single" w:sz="8" w:color="CCEEFF"/>
              <w:right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420" w:type="dxa"/>
            <w:vAlign w:val="bottom"/>
            <w:tcBorders>
              <w:top w:val="single" w:sz="8" w:color="CCEEFF"/>
              <w:bottom w:val="single" w:sz="8" w:color="CCEEFF"/>
              <w:right w:val="single" w:sz="8" w:color="auto"/>
            </w:tcBorders>
            <w:shd w:val="clear" w:color="auto" w:fill="CCEEFF"/>
          </w:tcPr>
          <w:p>
            <w:pPr>
              <w:jc w:val="right"/>
              <w:ind w:right="130"/>
              <w:spacing w:after="0" w:line="190" w:lineRule="exact"/>
              <w:rPr>
                <w:sz w:val="20"/>
                <w:szCs w:val="20"/>
                <w:color w:val="auto"/>
              </w:rPr>
            </w:pPr>
            <w:r>
              <w:rPr>
                <w:rFonts w:ascii="Arial" w:cs="Arial" w:eastAsia="Arial" w:hAnsi="Arial"/>
                <w:sz w:val="18"/>
                <w:szCs w:val="18"/>
                <w:color w:val="auto"/>
                <w:w w:val="81"/>
              </w:rPr>
              <w:t>)%</w:t>
            </w:r>
          </w:p>
        </w:tc>
        <w:tc>
          <w:tcPr>
            <w:tcW w:w="1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0.40</w:t>
            </w: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0.41</w:t>
            </w: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260" w:type="dxa"/>
            <w:vAlign w:val="bottom"/>
            <w:tcBorders>
              <w:top w:val="single" w:sz="8" w:color="CCEEFF"/>
              <w:bottom w:val="single" w:sz="8" w:color="CCEEFF"/>
              <w:right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8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90"/>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gridSpan w:val="2"/>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8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24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w w:val="94"/>
              </w:rPr>
              <w:t>Favorable/</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5"/>
            <w:vMerge w:val="restart"/>
          </w:tcPr>
          <w:p>
            <w:pPr>
              <w:jc w:val="center"/>
              <w:ind w:right="420"/>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24"/>
                <w:szCs w:val="24"/>
                <w:color w:val="auto"/>
              </w:rPr>
            </w:pPr>
          </w:p>
        </w:tc>
        <w:tc>
          <w:tcPr>
            <w:tcW w:w="1220" w:type="dxa"/>
            <w:vAlign w:val="bottom"/>
            <w:gridSpan w:val="3"/>
          </w:tcPr>
          <w:p>
            <w:pPr>
              <w:jc w:val="center"/>
              <w:ind w:left="276"/>
              <w:spacing w:after="0"/>
              <w:rPr>
                <w:sz w:val="20"/>
                <w:szCs w:val="20"/>
                <w:color w:val="auto"/>
              </w:rPr>
            </w:pPr>
            <w:r>
              <w:rPr>
                <w:rFonts w:ascii="Arial" w:cs="Arial" w:eastAsia="Arial" w:hAnsi="Arial"/>
                <w:sz w:val="14"/>
                <w:szCs w:val="14"/>
                <w:b w:val="1"/>
                <w:bCs w:val="1"/>
                <w:color w:val="auto"/>
                <w:w w:val="94"/>
              </w:rPr>
              <w:t>Favorable/</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left="296"/>
              <w:spacing w:after="0" w:line="149" w:lineRule="exact"/>
              <w:rPr>
                <w:sz w:val="20"/>
                <w:szCs w:val="20"/>
                <w:color w:val="auto"/>
              </w:rPr>
            </w:pPr>
            <w:r>
              <w:rPr>
                <w:rFonts w:ascii="Arial" w:cs="Arial" w:eastAsia="Arial" w:hAnsi="Arial"/>
                <w:sz w:val="14"/>
                <w:szCs w:val="14"/>
                <w:b w:val="1"/>
                <w:bCs w:val="1"/>
                <w:color w:val="auto"/>
                <w:w w:val="95"/>
              </w:rPr>
              <w:t>(Unfavorable)</w:t>
            </w: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left="276"/>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8"/>
                <w:szCs w:val="8"/>
                <w:b w:val="1"/>
                <w:bCs w:val="1"/>
                <w:color w:val="auto"/>
              </w:rPr>
              <w:t>(5)</w:t>
            </w:r>
          </w:p>
        </w:tc>
        <w:tc>
          <w:tcPr>
            <w:tcW w:w="180" w:type="dxa"/>
            <w:vAlign w:val="bottom"/>
          </w:tcPr>
          <w:p>
            <w:pPr>
              <w:spacing w:after="0"/>
              <w:rPr>
                <w:sz w:val="14"/>
                <w:szCs w:val="14"/>
                <w:color w:val="auto"/>
              </w:rPr>
            </w:pPr>
          </w:p>
        </w:tc>
        <w:tc>
          <w:tcPr>
            <w:tcW w:w="19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24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w w:val="92"/>
              </w:rPr>
              <w:t>Variance</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220" w:type="dxa"/>
            <w:vAlign w:val="bottom"/>
            <w:gridSpan w:val="3"/>
          </w:tcPr>
          <w:p>
            <w:pPr>
              <w:jc w:val="center"/>
              <w:ind w:left="276"/>
              <w:spacing w:after="0"/>
              <w:rPr>
                <w:sz w:val="20"/>
                <w:szCs w:val="20"/>
                <w:color w:val="auto"/>
              </w:rPr>
            </w:pPr>
            <w:r>
              <w:rPr>
                <w:rFonts w:ascii="Arial" w:cs="Arial" w:eastAsia="Arial" w:hAnsi="Arial"/>
                <w:sz w:val="14"/>
                <w:szCs w:val="14"/>
                <w:b w:val="1"/>
                <w:bCs w:val="1"/>
                <w:color w:val="auto"/>
                <w:w w:val="92"/>
              </w:rPr>
              <w:t>Variance</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gridSpan w:val="3"/>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Volumes</w:t>
            </w:r>
          </w:p>
        </w:tc>
        <w:tc>
          <w:tcPr>
            <w:tcW w:w="50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Volumes</w:t>
            </w:r>
          </w:p>
        </w:tc>
        <w:tc>
          <w:tcPr>
            <w:tcW w:w="46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w w:val="96"/>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Crude oil, refined products and</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right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right w:val="single" w:sz="8" w:color="CCEEFF"/>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right w:val="single" w:sz="8" w:color="CCEEFF"/>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right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NGL terminalling and storage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(average monthly capacity in</w:t>
            </w:r>
          </w:p>
        </w:tc>
        <w:tc>
          <w:tcPr>
            <w:tcW w:w="1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millions of barrels)</w:t>
            </w: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vMerge w:val="continue"/>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gridSpan w:val="3"/>
            <w:vMerge w:val="restart"/>
          </w:tcPr>
          <w:p>
            <w:pPr>
              <w:spacing w:after="0" w:line="195" w:lineRule="exact"/>
              <w:rPr>
                <w:sz w:val="20"/>
                <w:szCs w:val="20"/>
                <w:color w:val="auto"/>
              </w:rPr>
            </w:pPr>
            <w:r>
              <w:rPr>
                <w:rFonts w:ascii="Arial" w:cs="Arial" w:eastAsia="Arial" w:hAnsi="Arial"/>
                <w:sz w:val="18"/>
                <w:szCs w:val="18"/>
                <w:color w:val="auto"/>
                <w:w w:val="98"/>
              </w:rPr>
              <w:t>Rail load / unload volumes (average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40" w:type="dxa"/>
            <w:vAlign w:val="bottom"/>
            <w:gridSpan w:val="3"/>
          </w:tcPr>
          <w:p>
            <w:pPr>
              <w:ind w:left="180"/>
              <w:spacing w:after="0"/>
              <w:rPr>
                <w:sz w:val="20"/>
                <w:szCs w:val="20"/>
                <w:color w:val="auto"/>
              </w:rPr>
            </w:pPr>
            <w:r>
              <w:rPr>
                <w:rFonts w:ascii="Arial" w:cs="Arial" w:eastAsia="Arial" w:hAnsi="Arial"/>
                <w:sz w:val="18"/>
                <w:szCs w:val="18"/>
                <w:color w:val="auto"/>
              </w:rPr>
              <w:t>volumes in thousands of barrels</w:t>
            </w:r>
          </w:p>
        </w:tc>
        <w:tc>
          <w:tcPr>
            <w:tcW w:w="180" w:type="dxa"/>
            <w:vAlign w:val="bottom"/>
          </w:tcPr>
          <w:p>
            <w:pPr>
              <w:spacing w:after="0"/>
              <w:rPr>
                <w:sz w:val="18"/>
                <w:szCs w:val="18"/>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right w:val="single" w:sz="8" w:color="auto"/>
            </w:tcBorders>
            <w:gridSpan w:val="2"/>
            <w:vMerge w:val="restart"/>
          </w:tcPr>
          <w:p>
            <w:pPr>
              <w:jc w:val="right"/>
              <w:ind w:right="19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7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40" w:type="dxa"/>
            <w:vAlign w:val="bottom"/>
            <w:gridSpan w:val="3"/>
          </w:tcPr>
          <w:p>
            <w:pPr>
              <w:ind w:left="180"/>
              <w:spacing w:after="0"/>
              <w:rPr>
                <w:sz w:val="20"/>
                <w:szCs w:val="20"/>
                <w:color w:val="auto"/>
              </w:rPr>
            </w:pPr>
            <w:r>
              <w:rPr>
                <w:rFonts w:ascii="Arial" w:cs="Arial" w:eastAsia="Arial" w:hAnsi="Arial"/>
                <w:sz w:val="18"/>
                <w:szCs w:val="18"/>
                <w:color w:val="auto"/>
              </w:rPr>
              <w:t>per day)</w:t>
            </w:r>
          </w:p>
        </w:tc>
        <w:tc>
          <w:tcPr>
            <w:tcW w:w="180" w:type="dxa"/>
            <w:vAlign w:val="bottom"/>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Borders>
              <w:right w:val="single" w:sz="8" w:color="auto"/>
            </w:tcBorders>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8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Natural gas storage (average</w:t>
            </w: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right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right w:val="single" w:sz="8" w:color="auto"/>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right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right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right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monthly working capacity in</w:t>
            </w:r>
          </w:p>
        </w:tc>
        <w:tc>
          <w:tcPr>
            <w:tcW w:w="1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240" w:type="dxa"/>
            <w:vAlign w:val="bottom"/>
            <w:gridSpan w:val="3"/>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billions of cubic feet)</w:t>
            </w: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vMerge w:val="continue"/>
            <w:shd w:val="clear" w:color="auto" w:fill="CCEEFF"/>
          </w:tcPr>
          <w:p>
            <w:pPr>
              <w:spacing w:after="0"/>
              <w:rPr>
                <w:sz w:val="18"/>
                <w:szCs w:val="18"/>
                <w:color w:val="auto"/>
              </w:rPr>
            </w:pPr>
          </w:p>
        </w:tc>
        <w:tc>
          <w:tcPr>
            <w:tcW w:w="920" w:type="dxa"/>
            <w:vAlign w:val="bottom"/>
            <w:tcBorders>
              <w:right w:val="single" w:sz="8" w:color="auto"/>
            </w:tcBorders>
            <w:gridSpan w:val="2"/>
            <w:vMerge w:val="continue"/>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gridSpan w:val="3"/>
            <w:vMerge w:val="restart"/>
          </w:tcPr>
          <w:p>
            <w:pPr>
              <w:spacing w:after="0" w:line="195" w:lineRule="exact"/>
              <w:rPr>
                <w:sz w:val="20"/>
                <w:szCs w:val="20"/>
                <w:color w:val="auto"/>
              </w:rPr>
            </w:pPr>
            <w:r>
              <w:rPr>
                <w:rFonts w:ascii="Arial" w:cs="Arial" w:eastAsia="Arial" w:hAnsi="Arial"/>
                <w:sz w:val="18"/>
                <w:szCs w:val="18"/>
                <w:color w:val="auto"/>
              </w:rPr>
              <w:t>NGL fractionation (average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40" w:type="dxa"/>
            <w:vAlign w:val="bottom"/>
            <w:gridSpan w:val="3"/>
          </w:tcPr>
          <w:p>
            <w:pPr>
              <w:ind w:left="180"/>
              <w:spacing w:after="0"/>
              <w:rPr>
                <w:sz w:val="20"/>
                <w:szCs w:val="20"/>
                <w:color w:val="auto"/>
              </w:rPr>
            </w:pPr>
            <w:r>
              <w:rPr>
                <w:rFonts w:ascii="Arial" w:cs="Arial" w:eastAsia="Arial" w:hAnsi="Arial"/>
                <w:sz w:val="18"/>
                <w:szCs w:val="18"/>
                <w:color w:val="auto"/>
              </w:rPr>
              <w:t>volumes in thousands of barrels</w:t>
            </w:r>
          </w:p>
        </w:tc>
        <w:tc>
          <w:tcPr>
            <w:tcW w:w="180" w:type="dxa"/>
            <w:vAlign w:val="bottom"/>
          </w:tcPr>
          <w:p>
            <w:pPr>
              <w:spacing w:after="0"/>
              <w:rPr>
                <w:sz w:val="18"/>
                <w:szCs w:val="18"/>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920" w:type="dxa"/>
            <w:vAlign w:val="bottom"/>
            <w:tcBorders>
              <w:right w:val="single" w:sz="8" w:color="auto"/>
            </w:tcBorders>
            <w:gridSpan w:val="2"/>
            <w:vMerge w:val="restart"/>
          </w:tcPr>
          <w:p>
            <w:pPr>
              <w:jc w:val="right"/>
              <w:ind w:right="1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40" w:type="dxa"/>
            <w:vAlign w:val="bottom"/>
            <w:gridSpan w:val="3"/>
          </w:tcPr>
          <w:p>
            <w:pPr>
              <w:ind w:left="180"/>
              <w:spacing w:after="0"/>
              <w:rPr>
                <w:sz w:val="20"/>
                <w:szCs w:val="20"/>
                <w:color w:val="auto"/>
              </w:rPr>
            </w:pPr>
            <w:r>
              <w:rPr>
                <w:rFonts w:ascii="Arial" w:cs="Arial" w:eastAsia="Arial" w:hAnsi="Arial"/>
                <w:sz w:val="18"/>
                <w:szCs w:val="18"/>
                <w:color w:val="auto"/>
              </w:rPr>
              <w:t>per day)</w:t>
            </w:r>
          </w:p>
        </w:tc>
        <w:tc>
          <w:tcPr>
            <w:tcW w:w="180" w:type="dxa"/>
            <w:vAlign w:val="bottom"/>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Borders>
              <w:right w:val="single" w:sz="8" w:color="auto"/>
            </w:tcBorders>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8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Facilities segment total (average</w:t>
            </w: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right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right w:val="single" w:sz="8" w:color="auto"/>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right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right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right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monthly volumes in millions of</w:t>
            </w:r>
          </w:p>
        </w:tc>
        <w:tc>
          <w:tcPr>
            <w:tcW w:w="180" w:type="dxa"/>
            <w:vAlign w:val="bottom"/>
            <w:shd w:val="clear" w:color="auto" w:fill="CCEEFF"/>
          </w:tcPr>
          <w:p>
            <w:pPr>
              <w:spacing w:after="0"/>
              <w:rPr>
                <w:sz w:val="18"/>
                <w:szCs w:val="18"/>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40" w:type="dxa"/>
            <w:vAlign w:val="bottom"/>
            <w:gridSpan w:val="3"/>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3"/>
                <w:szCs w:val="23"/>
                <w:color w:val="auto"/>
                <w:vertAlign w:val="superscript"/>
              </w:rPr>
              <w:t>(6)</w:t>
            </w:r>
          </w:p>
        </w:tc>
        <w:tc>
          <w:tcPr>
            <w:tcW w:w="1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vMerge w:val="continue"/>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-3131820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-3131820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340" w:hanging="11"/>
        <w:spacing w:after="0" w:line="277" w:lineRule="auto"/>
        <w:rPr>
          <w:sz w:val="20"/>
          <w:szCs w:val="20"/>
          <w:color w:val="auto"/>
        </w:rPr>
      </w:pPr>
      <w:r>
        <w:rPr>
          <w:rFonts w:ascii="Arial" w:cs="Arial" w:eastAsia="Arial" w:hAnsi="Arial"/>
          <w:sz w:val="18"/>
          <w:szCs w:val="18"/>
          <w:color w:val="auto"/>
        </w:rPr>
        <w:t>Effective January 1, 2014, our natural gas sales and costs, primarily attributable to the activities performed by our natural gas storage commercial optimization group, are reported in the Supply and Logistics segment.</w:t>
      </w:r>
    </w:p>
    <w:p>
      <w:pPr>
        <w:spacing w:after="0" w:line="170" w:lineRule="exact"/>
        <w:rPr>
          <w:sz w:val="20"/>
          <w:szCs w:val="20"/>
          <w:color w:val="auto"/>
        </w:rPr>
      </w:pPr>
    </w:p>
    <w:p>
      <w:pPr>
        <w:ind w:left="20" w:right="8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20" w:right="380" w:hanging="11"/>
        <w:spacing w:after="0" w:line="277" w:lineRule="auto"/>
        <w:rPr>
          <w:sz w:val="20"/>
          <w:szCs w:val="20"/>
          <w:color w:val="auto"/>
        </w:rPr>
      </w:pPr>
      <w:r>
        <w:rPr>
          <w:rFonts w:ascii="Arial" w:cs="Arial" w:eastAsia="Arial" w:hAnsi="Arial"/>
          <w:sz w:val="18"/>
          <w:szCs w:val="18"/>
          <w:color w:val="auto"/>
        </w:rPr>
        <w:t>Volumes associated with assets employed through acquisitions and internal growth projects represent total volumes for the number of months we employed the assets divided by the number of months in the period.</w:t>
      </w:r>
    </w:p>
    <w:p>
      <w:pPr>
        <w:sectPr>
          <w:pgSz w:w="11900" w:h="16838" w:orient="portrait"/>
          <w:cols w:equalWidth="0" w:num="2">
            <w:col w:w="140" w:space="500"/>
            <w:col w:w="10820"/>
          </w:cols>
          <w:pgMar w:left="240" w:top="125" w:right="199" w:bottom="0" w:gutter="0" w:footer="0" w:header="0"/>
          <w:type w:val="continuous"/>
        </w:sectPr>
      </w:pPr>
    </w:p>
    <w:bookmarkStart w:id="25" w:name="page26"/>
    <w:bookmarkEnd w:id="25"/>
    <w:p>
      <w:pPr>
        <w:spacing w:after="0" w:line="13" w:lineRule="exact"/>
        <w:rPr>
          <w:sz w:val="20"/>
          <w:szCs w:val="20"/>
          <w:color w:val="auto"/>
        </w:rPr>
      </w:pPr>
    </w:p>
    <w:p>
      <w:pPr>
        <w:ind w:left="660" w:hanging="634"/>
        <w:spacing w:after="0" w:line="273" w:lineRule="auto"/>
        <w:tabs>
          <w:tab w:leader="none" w:pos="652"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spacing w:after="0" w:line="177" w:lineRule="exact"/>
        <w:rPr>
          <w:rFonts w:ascii="Arial" w:cs="Arial" w:eastAsia="Arial" w:hAnsi="Arial"/>
          <w:sz w:val="21"/>
          <w:szCs w:val="21"/>
          <w:color w:val="auto"/>
          <w:vertAlign w:val="superscript"/>
        </w:rPr>
      </w:pPr>
    </w:p>
    <w:p>
      <w:pPr>
        <w:ind w:left="660"/>
        <w:spacing w:after="0"/>
        <w:rPr>
          <w:rFonts w:ascii="Arial" w:cs="Arial" w:eastAsia="Arial" w:hAnsi="Arial"/>
          <w:sz w:val="21"/>
          <w:szCs w:val="21"/>
          <w:color w:val="auto"/>
          <w:vertAlign w:val="superscript"/>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As noted in the table above, our Facilities segment revenues, less storage related costs, increased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nine months ended September 30, 2014 as compared to the same periods of 2013. Total Facilities segment volumes were relatively consistent over the periods presented. Variances between the comparative periods were driven by:</w:t>
      </w:r>
    </w:p>
    <w:p>
      <w:pPr>
        <w:spacing w:after="0" w:line="181" w:lineRule="exact"/>
        <w:rPr>
          <w:sz w:val="20"/>
          <w:szCs w:val="20"/>
          <w:color w:val="auto"/>
        </w:rPr>
      </w:pPr>
    </w:p>
    <w:p>
      <w:pPr>
        <w:ind w:left="660" w:right="160" w:hanging="328"/>
        <w:spacing w:after="0" w:line="279" w:lineRule="auto"/>
        <w:tabs>
          <w:tab w:leader="none" w:pos="6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NGL Fractionation, NGL Storage and Natural Gas Processing Activities — Increased net revenues from our NGL fractionation and storage and natural gas processing activities of $11 million and $33 million, respectively, for the three and nine months ended September 30, 2014 compared to the three and nine months ended September 30, 2013, were largely driven by higher facility fee revenues due to rate increases at certain of our storage and fractionation facilities, which more than offset the impact of lower fractionation volumes during the 2014 periods.</w:t>
      </w:r>
    </w:p>
    <w:p>
      <w:pPr>
        <w:spacing w:after="0" w:line="171" w:lineRule="exact"/>
        <w:rPr>
          <w:sz w:val="20"/>
          <w:szCs w:val="20"/>
          <w:color w:val="auto"/>
        </w:rPr>
      </w:pPr>
    </w:p>
    <w:p>
      <w:pPr>
        <w:ind w:left="660" w:right="100"/>
        <w:spacing w:after="0" w:line="276" w:lineRule="auto"/>
        <w:rPr>
          <w:sz w:val="20"/>
          <w:szCs w:val="20"/>
          <w:color w:val="auto"/>
        </w:rPr>
      </w:pPr>
      <w:r>
        <w:rPr>
          <w:rFonts w:ascii="Arial" w:cs="Arial" w:eastAsia="Arial" w:hAnsi="Arial"/>
          <w:sz w:val="17"/>
          <w:szCs w:val="17"/>
          <w:color w:val="auto"/>
        </w:rPr>
        <w:t>These increases in NGL revenues include estimated unfavorable foreign currency impacts of $3 million and $13 million for the three and nine months ended September 30, 2014, respectively, as compared to the three and nine months ended September 30, 2013 due to the depreciation of the Canadian dollar relative to the U.S. dollar. The average CAD to USD exchange rates for the three months ended September 30, 2014 and 2013 were $1.09 CAD: $1.00 USD and $1.04 CAD: $1.00 USD, respectively. The average CAD to USD exchange rates for the nine months ended September 30, 2014 and 2013 were $1.09 CAD: $1.00 USD and $1.02 CAD: $1.00 USD,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20" w:hanging="328"/>
        <w:spacing w:after="0" w:line="257"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Rail Terminals — Revenues from rail load and unload activities increased by $3 million and $5 million for the three and nine months ended September 30, 2014, respectively, compared to the same periods in 2013. These increases were due to new rail terminals that came on line in the fourth quarter of 2013, partially offset by the unfavorable impact of rail delays and lower volumes at certain of our existing rail terminals during the comparative 2014 periods. The nine-month 2014 period was further unfavorably impacted by weather-related issues at certain of our terminals during the first quarter of 2014.</w:t>
      </w:r>
    </w:p>
    <w:p>
      <w:pPr>
        <w:spacing w:after="0" w:line="188" w:lineRule="exact"/>
        <w:rPr>
          <w:rFonts w:ascii="Arial" w:cs="Arial" w:eastAsia="Arial" w:hAnsi="Arial"/>
          <w:sz w:val="18"/>
          <w:szCs w:val="18"/>
          <w:color w:val="auto"/>
        </w:rPr>
      </w:pPr>
    </w:p>
    <w:p>
      <w:pPr>
        <w:ind w:left="660" w:right="40" w:hanging="328"/>
        <w:spacing w:after="0" w:line="264"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Condensate Processing Activities — Increased revenues from our condensate processing activities of $2 million and $7 million for the three and nine months ended September 30, 2014, respectively, compared to the three and nine months ended September 30, 2013 were largely driven by the start-up and subsequent expansion of our Eagle Ford processing facility.</w:t>
      </w:r>
    </w:p>
    <w:p>
      <w:pPr>
        <w:spacing w:after="0" w:line="181" w:lineRule="exact"/>
        <w:rPr>
          <w:rFonts w:ascii="Arial" w:cs="Arial" w:eastAsia="Arial" w:hAnsi="Arial"/>
          <w:sz w:val="18"/>
          <w:szCs w:val="18"/>
          <w:color w:val="auto"/>
        </w:rPr>
      </w:pPr>
    </w:p>
    <w:p>
      <w:pPr>
        <w:ind w:left="660" w:right="160" w:hanging="328"/>
        <w:spacing w:after="0" w:line="276" w:lineRule="auto"/>
        <w:tabs>
          <w:tab w:leader="none" w:pos="624" w:val="left"/>
        </w:tabs>
        <w:numPr>
          <w:ilvl w:val="0"/>
          <w:numId w:val="24"/>
        </w:numPr>
        <w:rPr>
          <w:rFonts w:ascii="Arial" w:cs="Arial" w:eastAsia="Arial" w:hAnsi="Arial"/>
          <w:sz w:val="17"/>
          <w:szCs w:val="17"/>
          <w:color w:val="auto"/>
        </w:rPr>
      </w:pPr>
      <w:r>
        <w:rPr>
          <w:rFonts w:ascii="Arial" w:cs="Arial" w:eastAsia="Arial" w:hAnsi="Arial"/>
          <w:sz w:val="17"/>
          <w:szCs w:val="17"/>
          <w:color w:val="auto"/>
        </w:rPr>
        <w:t>Crude Oil Storage — Revenues from our crude oil storage activities increased by $3 million and $4 million, respectively, for the three and nine months ended September 30, 2014 over the three and nine months ended September 30, 2013, primarily due to an expansion at our St. James terminal and increased throughput at our Cushing and Yorktown terminals. However, such results were partially offset by lower net revenues from certain storage facilities in California and the East Coast due to decreased demand, as well as the reclassification of certain of our Canadian storage facilities to our Transportation segment during the second quarter of 2014.</w:t>
      </w:r>
    </w:p>
    <w:p>
      <w:pPr>
        <w:spacing w:after="0" w:line="172" w:lineRule="exact"/>
        <w:rPr>
          <w:rFonts w:ascii="Arial" w:cs="Arial" w:eastAsia="Arial" w:hAnsi="Arial"/>
          <w:sz w:val="17"/>
          <w:szCs w:val="17"/>
          <w:color w:val="auto"/>
        </w:rPr>
      </w:pPr>
    </w:p>
    <w:p>
      <w:pPr>
        <w:ind w:left="660" w:right="220" w:hanging="328"/>
        <w:spacing w:after="0" w:line="302" w:lineRule="auto"/>
        <w:tabs>
          <w:tab w:leader="none" w:pos="624" w:val="left"/>
        </w:tabs>
        <w:numPr>
          <w:ilvl w:val="0"/>
          <w:numId w:val="24"/>
        </w:numPr>
        <w:rPr>
          <w:rFonts w:ascii="Arial" w:cs="Arial" w:eastAsia="Arial" w:hAnsi="Arial"/>
          <w:sz w:val="16"/>
          <w:szCs w:val="16"/>
          <w:color w:val="auto"/>
        </w:rPr>
      </w:pPr>
      <w:r>
        <w:rPr>
          <w:rFonts w:ascii="Arial" w:cs="Arial" w:eastAsia="Arial" w:hAnsi="Arial"/>
          <w:sz w:val="16"/>
          <w:szCs w:val="16"/>
          <w:color w:val="auto"/>
        </w:rPr>
        <w:t>Natural Gas Storage Operations — Net revenues from our natural gas storage operations decreased by approximately $5 million and $26 million during the three and nine month 2014 periods, respectively, primarily due to less favorable storage rates on contracts that renewed or replaced expiring contracts. The nine-month 2014 period was further unfavorably impacted by costs incurred in our natural gas storage activities to manage deliverability requirements in conjunction with the extended period of severe cold weather experienced during the first quarter of 2014.</w:t>
      </w:r>
    </w:p>
    <w:p>
      <w:pPr>
        <w:spacing w:after="0" w:line="15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(excluding equity-indexed compensation expenses) increased during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2014 compared to the three and nine months ended September 30, 2013 due to (i) increased costs for rail facilities which came on line in the fourth quarter of 2013, (ii) a change in classification of certain costs from General and Administrative expenses and (iii) an increase in costs associated with our NGL storage caverns. Higher gas and electricity utility prices in the first and second quarters of 2014 also contributed to an increase in costs for the comparative nine-month periods.</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(excluding equity-indexed compensation expenses) remained relatively</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consistent for the three months ended September 30, 2014 compared to the three months ended September 30, 2013 and decreased slightly during the comparative nine-month periods. These results reflect the net impact of a decrease in General and Administrative expenses due to a change in classification of certain costs to Field Operating Costs during the 2014 periods partially offset by increased expenses resulting from overall growth in the segment.</w:t>
      </w:r>
    </w:p>
    <w:p>
      <w:pPr>
        <w:spacing w:after="0" w:line="15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increase in maintenance capital for the three and nine months ended September 30, 2014 compared to the three and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2013 is primarily due to timing of maintenance projects for tanks and other facility assets.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We do not anticipate that future changes in revenues resulting from variances in commodity prices will be a primary driver of segment profit. Generally, we expect our segment profit to increase or decrease directionally with (i) increases or decreases in our Supply and Logistics segment volumes (which consist of lease gathering crude oil purchase volumes, NGL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51" w:orient="portrait"/>
          <w:cols w:equalWidth="0" w:num="1">
            <w:col w:w="11420"/>
          </w:cols>
          <w:pgMar w:left="240" w:top="125" w:right="239" w:bottom="0" w:gutter="0" w:footer="0" w:header="0"/>
          <w:type w:val="continuous"/>
        </w:sectPr>
      </w:pPr>
    </w:p>
    <w:bookmarkStart w:id="26" w:name="page27"/>
    <w:bookmarkEnd w:id="26"/>
    <w:p>
      <w:pPr>
        <w:ind w:left="660"/>
        <w:spacing w:after="0"/>
        <w:rPr>
          <w:sz w:val="20"/>
          <w:szCs w:val="20"/>
          <w:color w:val="auto"/>
        </w:rPr>
      </w:pPr>
      <w:r>
        <w:rPr>
          <w:rFonts w:ascii="Arial" w:cs="Arial" w:eastAsia="Arial" w:hAnsi="Arial"/>
          <w:sz w:val="18"/>
          <w:szCs w:val="18"/>
          <w:color w:val="auto"/>
        </w:rPr>
        <w:t>The following table sets forth operating results from our Supply and Logistics segment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vMerge w:val="restart"/>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000" w:type="dxa"/>
            <w:vAlign w:val="bottom"/>
            <w:gridSpan w:val="3"/>
          </w:tcPr>
          <w:p>
            <w:pPr>
              <w:jc w:val="center"/>
              <w:ind w:left="217"/>
              <w:spacing w:after="0"/>
              <w:rPr>
                <w:sz w:val="20"/>
                <w:szCs w:val="20"/>
                <w:color w:val="auto"/>
              </w:rPr>
            </w:pPr>
            <w:r>
              <w:rPr>
                <w:rFonts w:ascii="Arial" w:cs="Arial" w:eastAsia="Arial" w:hAnsi="Arial"/>
                <w:sz w:val="14"/>
                <w:szCs w:val="14"/>
                <w:b w:val="1"/>
                <w:bCs w:val="1"/>
                <w:color w:val="auto"/>
                <w:w w:val="94"/>
              </w:rPr>
              <w:t>Favorable/</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060" w:type="dxa"/>
            <w:vAlign w:val="bottom"/>
            <w:gridSpan w:val="3"/>
          </w:tcPr>
          <w:p>
            <w:pPr>
              <w:jc w:val="center"/>
              <w:ind w:left="237"/>
              <w:spacing w:after="0"/>
              <w:rPr>
                <w:sz w:val="20"/>
                <w:szCs w:val="20"/>
                <w:color w:val="auto"/>
              </w:rPr>
            </w:pPr>
            <w:r>
              <w:rPr>
                <w:rFonts w:ascii="Arial" w:cs="Arial" w:eastAsia="Arial" w:hAnsi="Arial"/>
                <w:sz w:val="14"/>
                <w:szCs w:val="14"/>
                <w:b w:val="1"/>
                <w:bCs w:val="1"/>
                <w:color w:val="auto"/>
                <w:w w:val="94"/>
              </w:rPr>
              <w:t>Favorable/</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 (2)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6"/>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140" w:type="dxa"/>
            <w:vAlign w:val="bottom"/>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71"/>
        </w:trPr>
        <w:tc>
          <w:tcPr>
            <w:tcW w:w="3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000" w:type="dxa"/>
            <w:vAlign w:val="bottom"/>
            <w:gridSpan w:val="3"/>
          </w:tcPr>
          <w:p>
            <w:pPr>
              <w:jc w:val="center"/>
              <w:ind w:left="217"/>
              <w:spacing w:after="0"/>
              <w:rPr>
                <w:sz w:val="20"/>
                <w:szCs w:val="20"/>
                <w:color w:val="auto"/>
              </w:rPr>
            </w:pPr>
            <w:r>
              <w:rPr>
                <w:rFonts w:ascii="Arial" w:cs="Arial" w:eastAsia="Arial" w:hAnsi="Arial"/>
                <w:sz w:val="14"/>
                <w:szCs w:val="14"/>
                <w:b w:val="1"/>
                <w:bCs w:val="1"/>
                <w:color w:val="auto"/>
                <w:w w:val="92"/>
              </w:rPr>
              <w:t>Variance</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gridSpan w:val="3"/>
          </w:tcPr>
          <w:p>
            <w:pPr>
              <w:jc w:val="center"/>
              <w:ind w:left="237"/>
              <w:spacing w:after="0"/>
              <w:rPr>
                <w:sz w:val="20"/>
                <w:szCs w:val="20"/>
                <w:color w:val="auto"/>
              </w:rPr>
            </w:pPr>
            <w:r>
              <w:rPr>
                <w:rFonts w:ascii="Arial" w:cs="Arial" w:eastAsia="Arial" w:hAnsi="Arial"/>
                <w:sz w:val="14"/>
                <w:szCs w:val="14"/>
                <w:b w:val="1"/>
                <w:bCs w:val="1"/>
                <w:color w:val="auto"/>
                <w:w w:val="92"/>
              </w:rPr>
              <w:t>Variance</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33,021</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22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(10,488)</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(10,189)</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20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(32,041)</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(29,439)</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(2,602)</w:t>
            </w:r>
          </w:p>
        </w:tc>
        <w:tc>
          <w:tcPr>
            <w:tcW w:w="2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w w:val="99"/>
              </w:rPr>
              <w:t>Equity-indexed compensation expense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(4) (5)</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w w:val="99"/>
              </w:rPr>
              <w:t>Equity-indexed compensation expense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6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Maintenance capital</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right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20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1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50"/>
              <w:spacing w:after="0" w:line="196" w:lineRule="exact"/>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160" w:type="dxa"/>
            <w:vAlign w:val="bottom"/>
            <w:vMerge w:val="continue"/>
          </w:tcPr>
          <w:p>
            <w:pPr>
              <w:spacing w:after="0"/>
              <w:rPr>
                <w:sz w:val="18"/>
                <w:szCs w:val="18"/>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100" w:type="dxa"/>
            <w:vAlign w:val="bottom"/>
            <w:vMerge w:val="continue"/>
          </w:tcPr>
          <w:p>
            <w:pPr>
              <w:spacing w:after="0"/>
              <w:rPr>
                <w:sz w:val="18"/>
                <w:szCs w:val="18"/>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18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16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vMerge w:val="restart"/>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2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w:t>
            </w:r>
          </w:p>
        </w:tc>
        <w:tc>
          <w:tcPr>
            <w:tcW w:w="2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0.69</w:t>
            </w:r>
          </w:p>
        </w:tc>
        <w:tc>
          <w:tcPr>
            <w:tcW w:w="160" w:type="dxa"/>
            <w:vAlign w:val="bottom"/>
            <w:tcBorders>
              <w:right w:val="single" w:sz="8" w:color="CCEEFF"/>
            </w:tcBorders>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0.78</w:t>
            </w:r>
          </w:p>
        </w:tc>
        <w:tc>
          <w:tcPr>
            <w:tcW w:w="1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right w:val="single" w:sz="8" w:color="auto"/>
            </w:tcBorders>
            <w:gridSpan w:val="2"/>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w:t>
            </w:r>
          </w:p>
        </w:tc>
        <w:tc>
          <w:tcPr>
            <w:tcW w:w="160" w:type="dxa"/>
            <w:vAlign w:val="bottom"/>
            <w:tcBorders>
              <w:right w:val="single" w:sz="8" w:color="CCEEFF"/>
            </w:tcBorders>
            <w:vMerge w:val="continue"/>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2.33</w:t>
            </w:r>
          </w:p>
        </w:tc>
        <w:tc>
          <w:tcPr>
            <w:tcW w:w="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(0.58)</w:t>
            </w:r>
          </w:p>
        </w:tc>
        <w:tc>
          <w:tcPr>
            <w:tcW w:w="1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3"/>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3"/>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5"/>
            <w:vMerge w:val="restart"/>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24"/>
                <w:szCs w:val="24"/>
                <w:color w:val="auto"/>
              </w:rPr>
            </w:pPr>
          </w:p>
        </w:tc>
        <w:tc>
          <w:tcPr>
            <w:tcW w:w="1000" w:type="dxa"/>
            <w:vAlign w:val="bottom"/>
            <w:gridSpan w:val="3"/>
          </w:tcPr>
          <w:p>
            <w:pPr>
              <w:jc w:val="center"/>
              <w:ind w:left="217"/>
              <w:spacing w:after="0"/>
              <w:rPr>
                <w:sz w:val="20"/>
                <w:szCs w:val="20"/>
                <w:color w:val="auto"/>
              </w:rPr>
            </w:pPr>
            <w:r>
              <w:rPr>
                <w:rFonts w:ascii="Arial" w:cs="Arial" w:eastAsia="Arial" w:hAnsi="Arial"/>
                <w:sz w:val="14"/>
                <w:szCs w:val="14"/>
                <w:b w:val="1"/>
                <w:bCs w:val="1"/>
                <w:color w:val="auto"/>
                <w:w w:val="94"/>
              </w:rPr>
              <w:t>Favorable/</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24"/>
                <w:szCs w:val="24"/>
                <w:color w:val="auto"/>
              </w:rPr>
            </w:pPr>
          </w:p>
        </w:tc>
        <w:tc>
          <w:tcPr>
            <w:tcW w:w="1060" w:type="dxa"/>
            <w:vAlign w:val="bottom"/>
            <w:gridSpan w:val="3"/>
          </w:tcPr>
          <w:p>
            <w:pPr>
              <w:jc w:val="center"/>
              <w:ind w:left="237"/>
              <w:spacing w:after="0"/>
              <w:rPr>
                <w:sz w:val="20"/>
                <w:szCs w:val="20"/>
                <w:color w:val="auto"/>
              </w:rPr>
            </w:pPr>
            <w:r>
              <w:rPr>
                <w:rFonts w:ascii="Arial" w:cs="Arial" w:eastAsia="Arial" w:hAnsi="Arial"/>
                <w:sz w:val="14"/>
                <w:szCs w:val="14"/>
                <w:b w:val="1"/>
                <w:bCs w:val="1"/>
                <w:color w:val="auto"/>
                <w:w w:val="94"/>
              </w:rPr>
              <w:t>Favorable/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6"/>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140" w:type="dxa"/>
            <w:vAlign w:val="bottom"/>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71"/>
        </w:trPr>
        <w:tc>
          <w:tcPr>
            <w:tcW w:w="3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000" w:type="dxa"/>
            <w:vAlign w:val="bottom"/>
            <w:gridSpan w:val="3"/>
          </w:tcPr>
          <w:p>
            <w:pPr>
              <w:jc w:val="center"/>
              <w:ind w:left="217"/>
              <w:spacing w:after="0"/>
              <w:rPr>
                <w:sz w:val="20"/>
                <w:szCs w:val="20"/>
                <w:color w:val="auto"/>
              </w:rPr>
            </w:pPr>
            <w:r>
              <w:rPr>
                <w:rFonts w:ascii="Arial" w:cs="Arial" w:eastAsia="Arial" w:hAnsi="Arial"/>
                <w:sz w:val="14"/>
                <w:szCs w:val="14"/>
                <w:b w:val="1"/>
                <w:bCs w:val="1"/>
                <w:color w:val="auto"/>
                <w:w w:val="92"/>
              </w:rPr>
              <w:t>Variance</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gridSpan w:val="3"/>
          </w:tcPr>
          <w:p>
            <w:pPr>
              <w:jc w:val="center"/>
              <w:ind w:left="237"/>
              <w:spacing w:after="0"/>
              <w:rPr>
                <w:sz w:val="20"/>
                <w:szCs w:val="20"/>
                <w:color w:val="auto"/>
              </w:rPr>
            </w:pPr>
            <w:r>
              <w:rPr>
                <w:rFonts w:ascii="Arial" w:cs="Arial" w:eastAsia="Arial" w:hAnsi="Arial"/>
                <w:sz w:val="14"/>
                <w:szCs w:val="14"/>
                <w:b w:val="1"/>
                <w:bCs w:val="1"/>
                <w:color w:val="auto"/>
                <w:w w:val="92"/>
              </w:rPr>
              <w:t>Variance</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 of barrels per day)</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Volumes</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Volumes</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NGL sales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(100)%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220" w:type="dxa"/>
            <w:vAlign w:val="bottom"/>
          </w:tcPr>
          <w:p>
            <w:pPr>
              <w:ind w:left="180"/>
              <w:spacing w:after="0"/>
              <w:rPr>
                <w:sz w:val="20"/>
                <w:szCs w:val="20"/>
                <w:color w:val="auto"/>
              </w:rPr>
            </w:pPr>
            <w:r>
              <w:rPr>
                <w:rFonts w:ascii="Arial" w:cs="Arial" w:eastAsia="Arial" w:hAnsi="Arial"/>
                <w:sz w:val="18"/>
                <w:szCs w:val="18"/>
                <w:color w:val="auto"/>
              </w:rPr>
              <w:t>Supply and Logistics segment total</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183070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225" w:lineRule="exact"/>
        <w:rPr>
          <w:sz w:val="20"/>
          <w:szCs w:val="20"/>
          <w:color w:val="auto"/>
        </w:rPr>
      </w:pPr>
    </w:p>
    <w:p>
      <w:pPr>
        <w:ind w:left="20" w:right="820" w:hanging="11"/>
        <w:spacing w:after="0" w:line="277" w:lineRule="auto"/>
        <w:rPr>
          <w:sz w:val="20"/>
          <w:szCs w:val="20"/>
          <w:color w:val="auto"/>
        </w:rPr>
      </w:pPr>
      <w:r>
        <w:rPr>
          <w:rFonts w:ascii="Arial" w:cs="Arial" w:eastAsia="Arial" w:hAnsi="Arial"/>
          <w:sz w:val="18"/>
          <w:szCs w:val="18"/>
          <w:color w:val="auto"/>
        </w:rPr>
        <w:t>Prior to January 1, 2014, natural gas sales revenues and costs attributable to the activities performed by our natural gas storage commercial optimization group were reported in the Facilities segment.</w:t>
      </w:r>
    </w:p>
    <w:p>
      <w:pPr>
        <w:spacing w:after="0" w:line="170" w:lineRule="exact"/>
        <w:rPr>
          <w:sz w:val="20"/>
          <w:szCs w:val="20"/>
          <w:color w:val="auto"/>
        </w:rPr>
      </w:pPr>
    </w:p>
    <w:p>
      <w:pPr>
        <w:ind w:left="20" w:right="440" w:hanging="11"/>
        <w:spacing w:after="0" w:line="342" w:lineRule="auto"/>
        <w:rPr>
          <w:sz w:val="20"/>
          <w:szCs w:val="20"/>
          <w:color w:val="auto"/>
        </w:rPr>
      </w:pPr>
      <w:r>
        <w:rPr>
          <w:rFonts w:ascii="Arial" w:cs="Arial" w:eastAsia="Arial" w:hAnsi="Arial"/>
          <w:sz w:val="16"/>
          <w:szCs w:val="16"/>
          <w:color w:val="auto"/>
        </w:rPr>
        <w:t>Purchases and related costs include interest expense (related to hedged inventory purchases) of $4 million and $11 million for the three and nine months ended September 30, 2014 and $8 million and $21 million for the three and nine months ended September 30, 2013, respectively.</w:t>
      </w:r>
    </w:p>
    <w:p>
      <w:pPr>
        <w:spacing w:after="0" w:line="124" w:lineRule="exact"/>
        <w:rPr>
          <w:sz w:val="20"/>
          <w:szCs w:val="20"/>
          <w:color w:val="auto"/>
        </w:rPr>
      </w:pPr>
    </w:p>
    <w:p>
      <w:pPr>
        <w:ind w:left="20" w:right="8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00" w:lineRule="exact"/>
        <w:rPr>
          <w:sz w:val="20"/>
          <w:szCs w:val="20"/>
          <w:color w:val="auto"/>
        </w:rPr>
      </w:pPr>
    </w:p>
    <w:p>
      <w:pPr>
        <w:sectPr>
          <w:pgSz w:w="11900" w:h="16838" w:orient="portrait"/>
          <w:cols w:equalWidth="0" w:num="2">
            <w:col w:w="140" w:space="500"/>
            <w:col w:w="10820"/>
          </w:cols>
          <w:pgMar w:left="240" w:top="341" w:right="199" w:bottom="0" w:gutter="0" w:footer="0" w:header="0"/>
          <w:type w:val="continuous"/>
        </w:sectPr>
      </w:pPr>
    </w:p>
    <w:p>
      <w:pPr>
        <w:spacing w:after="0" w:line="3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presents the range of the NYMEX West Texas Intermediate benchmark price of crude oil during the three and nine months ended September 30, 2014 and 2013.</w:t>
      </w:r>
    </w:p>
    <w:p>
      <w:pPr>
        <w:spacing w:after="0" w:line="162"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NYMEX WTI</w:t>
      </w:r>
    </w:p>
    <w:p>
      <w:pPr>
        <w:ind w:left="8440"/>
        <w:spacing w:after="0" w:line="236" w:lineRule="auto"/>
        <w:rPr>
          <w:sz w:val="20"/>
          <w:szCs w:val="20"/>
          <w:color w:val="auto"/>
        </w:rPr>
      </w:pPr>
      <w:r>
        <w:rPr>
          <w:rFonts w:ascii="Arial" w:cs="Arial" w:eastAsia="Arial" w:hAnsi="Arial"/>
          <w:sz w:val="14"/>
          <w:szCs w:val="14"/>
          <w:b w:val="1"/>
          <w:bCs w:val="1"/>
          <w:color w:val="auto"/>
        </w:rPr>
        <w:t>Crude Oil Price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0" w:type="dxa"/>
            <w:vAlign w:val="bottom"/>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Low</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CCEEFF"/>
            </w:tcBorders>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 2014</w:t>
            </w:r>
          </w:p>
        </w:tc>
        <w:tc>
          <w:tcPr>
            <w:tcW w:w="28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Three months ended September 30, 2013</w:t>
            </w:r>
          </w:p>
        </w:tc>
        <w:tc>
          <w:tcPr>
            <w:tcW w:w="38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96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Nine months ended September 30, 2014</w:t>
            </w:r>
          </w:p>
        </w:tc>
        <w:tc>
          <w:tcPr>
            <w:tcW w:w="38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2013</w:t>
            </w:r>
          </w:p>
        </w:tc>
        <w:tc>
          <w:tcPr>
            <w:tcW w:w="382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0" w:type="dxa"/>
            <w:vAlign w:val="bottom"/>
          </w:tcPr>
          <w:p>
            <w:pPr>
              <w:jc w:val="right"/>
              <w:ind w:right="1530"/>
              <w:spacing w:after="0"/>
              <w:rPr>
                <w:sz w:val="20"/>
                <w:szCs w:val="20"/>
                <w:color w:val="auto"/>
              </w:rPr>
            </w:pPr>
            <w:r>
              <w:rPr>
                <w:rFonts w:ascii="Arial" w:cs="Arial" w:eastAsia="Arial" w:hAnsi="Arial"/>
                <w:sz w:val="18"/>
                <w:szCs w:val="18"/>
                <w:color w:val="auto"/>
              </w:rPr>
              <w:t>38</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96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and nine months ended September 30, 2014 relative to the comparative periods, primarily resulting from increases in crude oil volumes in 2014, partially offset by decreases in crude oil prices relative to the comparative three-month period.</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Also, our NGL marketing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discussion of items impacting Supply and Logistics segment profit and segment profit per barrel for the periods indicated.</w:t>
      </w:r>
    </w:p>
    <w:p>
      <w:pPr>
        <w:spacing w:after="0" w:line="237"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i w:val="1"/>
          <w:iCs w:val="1"/>
          <w:color w:val="auto"/>
        </w:rPr>
        <w:t xml:space="preserve">Net Operating Revenues and Volumes. </w:t>
      </w:r>
      <w:r>
        <w:rPr>
          <w:rFonts w:ascii="Arial" w:cs="Arial" w:eastAsia="Arial" w:hAnsi="Arial"/>
          <w:sz w:val="16"/>
          <w:szCs w:val="16"/>
          <w:color w:val="auto"/>
        </w:rPr>
        <w:t>Our Supply and Logistics segment revenues, net of purchases and related costs, excluding gains and losses</w:t>
      </w:r>
      <w:r>
        <w:rPr>
          <w:rFonts w:ascii="Arial" w:cs="Arial" w:eastAsia="Arial" w:hAnsi="Arial"/>
          <w:sz w:val="16"/>
          <w:szCs w:val="16"/>
          <w:i w:val="1"/>
          <w:iCs w:val="1"/>
          <w:color w:val="auto"/>
        </w:rPr>
        <w:t xml:space="preserve"> </w:t>
      </w:r>
      <w:r>
        <w:rPr>
          <w:rFonts w:ascii="Arial" w:cs="Arial" w:eastAsia="Arial" w:hAnsi="Arial"/>
          <w:sz w:val="16"/>
          <w:szCs w:val="16"/>
          <w:color w:val="auto"/>
        </w:rPr>
        <w:t>from certain derivative activities (see the “Impact from Certain Derivative Activities” section below), increased slightly for the three months ended</w:t>
      </w:r>
    </w:p>
    <w:p>
      <w:pPr>
        <w:sectPr>
          <w:pgSz w:w="11900" w:h="16838" w:orient="portrait"/>
          <w:cols w:equalWidth="0" w:num="1">
            <w:col w:w="11460"/>
          </w:cols>
          <w:pgMar w:left="240" w:top="341" w:right="199" w:bottom="0" w:gutter="0" w:footer="0" w:header="0"/>
          <w:type w:val="continuous"/>
        </w:sectPr>
      </w:pPr>
    </w:p>
    <w:bookmarkStart w:id="27" w:name="page28"/>
    <w:bookmarkEnd w:id="27"/>
    <w:p>
      <w:pPr>
        <w:ind w:right="280"/>
        <w:spacing w:after="0" w:line="277" w:lineRule="auto"/>
        <w:rPr>
          <w:sz w:val="20"/>
          <w:szCs w:val="20"/>
          <w:color w:val="auto"/>
        </w:rPr>
      </w:pPr>
      <w:r>
        <w:rPr>
          <w:rFonts w:ascii="Arial" w:cs="Arial" w:eastAsia="Arial" w:hAnsi="Arial"/>
          <w:sz w:val="18"/>
          <w:szCs w:val="18"/>
          <w:color w:val="auto"/>
        </w:rPr>
        <w:t>September 30, 2014 compared to the three months ended September 30, 2013, while such results decreased year-over-year for the nine month comparative periods presented. The following factors impacted revenues and volumes in the comparative periods:</w:t>
      </w:r>
    </w:p>
    <w:p>
      <w:pPr>
        <w:spacing w:after="0" w:line="170" w:lineRule="exact"/>
        <w:rPr>
          <w:sz w:val="20"/>
          <w:szCs w:val="20"/>
          <w:color w:val="auto"/>
        </w:rPr>
      </w:pPr>
    </w:p>
    <w:p>
      <w:pPr>
        <w:ind w:left="660" w:right="180" w:hanging="328"/>
        <w:spacing w:after="0" w:line="255"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NGL Marketing Operations — Net revenues from our NGL marketing operations decreased during the three and nine months ended September 30, 2014 as compared to the three and nine months ended September 30, 2013. This decrease was driven by higher purchases and related costs in the 2014 periods, primarily due to (i) a higher weighted average inventory cost and (ii) increased facility fees. Additionally, NGL margins during the nine-month 2014 period were further impacted by less favorable market conditions, most notably during the second quarter of 2014, as market pricing was stronger in 2013 due to heating requirements during a winter season that extended into the second quarter and greater petrochemical demand for propane.</w:t>
      </w:r>
    </w:p>
    <w:p>
      <w:pPr>
        <w:spacing w:after="0" w:line="193" w:lineRule="exact"/>
        <w:rPr>
          <w:rFonts w:ascii="Arial" w:cs="Arial" w:eastAsia="Arial" w:hAnsi="Arial"/>
          <w:sz w:val="18"/>
          <w:szCs w:val="18"/>
          <w:color w:val="auto"/>
        </w:rPr>
      </w:pPr>
    </w:p>
    <w:p>
      <w:pPr>
        <w:ind w:left="660" w:right="120" w:hanging="328"/>
        <w:spacing w:after="0" w:line="257"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North American Crude Oil Production and Related Market Economics — The significant increase in oil and liquids-rich gas production growth in North America has generally created regional supply and demand imbalances due to the lack of sufficient infrastructure to support the movement of such production, which increased certain crude oil location differentials. The lack of existing pipeline takeaway capacity and associated logistical challenges created market conditions that provided opportunities to capture above-baseline margins in our supply and logistics crude oil activities over the last few years.</w:t>
      </w:r>
    </w:p>
    <w:p>
      <w:pPr>
        <w:spacing w:after="0" w:line="188" w:lineRule="exact"/>
        <w:rPr>
          <w:sz w:val="20"/>
          <w:szCs w:val="20"/>
          <w:color w:val="auto"/>
        </w:rPr>
      </w:pPr>
    </w:p>
    <w:p>
      <w:pPr>
        <w:ind w:left="660" w:right="80"/>
        <w:spacing w:after="0" w:line="297" w:lineRule="auto"/>
        <w:rPr>
          <w:sz w:val="20"/>
          <w:szCs w:val="20"/>
          <w:color w:val="auto"/>
        </w:rPr>
      </w:pPr>
      <w:r>
        <w:rPr>
          <w:rFonts w:ascii="Arial" w:cs="Arial" w:eastAsia="Arial" w:hAnsi="Arial"/>
          <w:sz w:val="16"/>
          <w:szCs w:val="16"/>
          <w:color w:val="auto"/>
        </w:rPr>
        <w:t>For the nine months ended September 30, 2014 compared to the nine months ended September 30, 2013, net revenues from our crude oil supply and logistics activities decreased, as there were fewer opportunities to capture above-baseline margins, particularly in the first quarter of 2014 compared to the first quarter of 2013. However, the widening of certain differentials in the third quarter of 2014 allowed for more opportunities to capture above-baseline margins as compared to the third quarter of 2013, which led to an increase in net revenues from our crude oil supply and logistics activities for the three months ended September 30, 2014 compared to the three months ended September 30, 2013.</w:t>
      </w:r>
    </w:p>
    <w:p>
      <w:pPr>
        <w:spacing w:after="0" w:line="158"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We believe the fundamentals of our business remain strong as lease-gathered volumes for the three and nine month periods ended September 30, 2014 increased by 13% and 9%, respectively, as compared to volumes in the same three and nine month periods in 2013. However, as the midstream infrastructure continues to be developed, we believe a normalization of margins will continue to occur as the logistics challenges are addressed. (See Items 1 and 2 “Business and Properties—Description of Segments and Associated Assets—Supply and Logistics Segment—Impact of Commodity Price Volatility and Dynamic Market Conditions on Our Business Model” included in Part I of our 2013 Annual Report on Form 10-K for further discussion regarding our business model, including diversification and utilization of our asset base among varying demand- and supply-driven markets.)</w:t>
      </w:r>
    </w:p>
    <w:p>
      <w:pPr>
        <w:spacing w:after="0" w:line="189" w:lineRule="exact"/>
        <w:rPr>
          <w:sz w:val="20"/>
          <w:szCs w:val="20"/>
          <w:color w:val="auto"/>
        </w:rPr>
      </w:pPr>
    </w:p>
    <w:p>
      <w:pPr>
        <w:ind w:left="660" w:right="140" w:hanging="328"/>
        <w:spacing w:after="0" w:line="264"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Natural Gas Storage Commercial Optimization — Our natural gas storage commercial optimization activities for the nine months ended September 30, 2014 were unfavorably impacted by costs incurred to manage deliverability requirements in conjunction with the extended period of severe cold weather experienced during the first quarter of 2014.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Impact from Certain Derivative Activities</w:t>
      </w:r>
      <w:r>
        <w:rPr>
          <w:rFonts w:ascii="Arial" w:cs="Arial" w:eastAsia="Arial" w:hAnsi="Arial"/>
          <w:sz w:val="18"/>
          <w:szCs w:val="18"/>
          <w:color w:val="auto"/>
        </w:rPr>
        <w:t>. The mark-to-market valuation of certain of our derivative activities impacted our net revenues as shown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jc w:val="center"/>
              <w:ind w:left="222"/>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267"/>
              <w:spacing w:after="0"/>
              <w:rPr>
                <w:sz w:val="20"/>
                <w:szCs w:val="20"/>
                <w:color w:val="auto"/>
              </w:rPr>
            </w:pPr>
            <w:r>
              <w:rPr>
                <w:rFonts w:ascii="Arial" w:cs="Arial" w:eastAsia="Arial" w:hAnsi="Arial"/>
                <w:sz w:val="14"/>
                <w:szCs w:val="14"/>
                <w:b w:val="1"/>
                <w:bCs w:val="1"/>
                <w:color w:val="auto"/>
                <w:w w:val="89"/>
              </w:rPr>
              <w:t>September 30,</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9"/>
              </w:rPr>
              <w:t>Variance</w:t>
            </w:r>
          </w:p>
        </w:tc>
        <w:tc>
          <w:tcPr>
            <w:tcW w:w="2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9"/>
              </w:rPr>
              <w:t>Variance</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Gains/(losses) from certain derivative activities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 w:hanging="652"/>
        <w:spacing w:after="0"/>
        <w:tabs>
          <w:tab w:leader="none" w:pos="64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Includes mark-to-market and other gains and losses resulting from certain derivative instruments that are related to underlying activities in future periods or the reversal of mark-to-market gains and losses from the prior period. These amounts are reduced by the net impact of inventory valuation adjustments attributable to inventory hedged by the related derivative and gains recognized in later periods on physical sales of inventory that was previously written down. See Note 10 to our condensed consolidated financial statements for a comprehensive discussion regarding our derivatives and risk management activities.</w:t>
      </w:r>
    </w:p>
    <w:p>
      <w:pPr>
        <w:spacing w:after="0" w:line="20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increase in field operating costs (excluding equity-indexed compensation expenses) for the three and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2014 compared to the three and nine months ended September 30, 2013 was primarily due to an increase in trucking costs associated with higher crude oil lease gathered volumes. However, the increase in field operating costs for the comparative nine-month periods was partially offset by a decrease in third-party transportation costs in the first quarter of 2014 as compared to the first quarter of 2013.</w:t>
      </w:r>
    </w:p>
    <w:p>
      <w:pPr>
        <w:spacing w:after="0" w:line="17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decrease in maintenance capital for the three and nine months ended September 30, 2014 compared to the three and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2013 is primarily due to reduced spending on trucking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The increase in depreciation and amortization expense for the three and nine months ended September 30, 2014 over the three and nine months ended September 30, 2013 was primarily due to various internal growth projects completed throughout 2013 and 2014, as well as an acceleration of depreciation on certain pipeline assets to reflect a change in their estimated useful lives.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right="80" w:firstLine="648"/>
        <w:spacing w:after="0" w:line="291" w:lineRule="auto"/>
        <w:rPr>
          <w:sz w:val="20"/>
          <w:szCs w:val="20"/>
          <w:color w:val="auto"/>
        </w:rPr>
      </w:pPr>
      <w:r>
        <w:rPr>
          <w:rFonts w:ascii="Arial" w:cs="Arial" w:eastAsia="Arial" w:hAnsi="Arial"/>
          <w:sz w:val="16"/>
          <w:szCs w:val="16"/>
          <w:color w:val="auto"/>
        </w:rPr>
        <w:t>The increase in interest expense for the three and nine months ended September 30, 2014 over the three and nine months ended September 30, 2013 resulted from higher average debt outstanding during the 2014 periods, primarily due to (i) PAA’s August 2013 issuance of $700 million, 3.85% senior notes,</w:t>
      </w:r>
    </w:p>
    <w:p>
      <w:pPr>
        <w:ind w:right="280" w:firstLine="8"/>
        <w:spacing w:after="0" w:line="261" w:lineRule="auto"/>
        <w:tabs>
          <w:tab w:leader="none" w:pos="2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PAA’s April 2014 issuance of $700 million, 4.70% senior notes and (iii) PAA’s September 2014 issuance of $750 million, 3.60% senior notes, partially offset by the maturity of PAA’s $250 million, 5.63% senior notes in December 2013.</w:t>
      </w:r>
    </w:p>
    <w:p>
      <w:pPr>
        <w:sectPr>
          <w:pgSz w:w="11900" w:h="16838" w:orient="portrait"/>
          <w:cols w:equalWidth="0" w:num="1">
            <w:col w:w="11420"/>
          </w:cols>
          <w:pgMar w:left="240" w:top="125" w:right="239" w:bottom="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Other income/(expense), net in each of the periods presented was primarily comprised of foreign currency gains or losses related to revaluations of CAD-denominated interest receivables associated with our intercompany notes and the impact of related foreign currency hedges.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520" w:firstLine="648"/>
        <w:spacing w:after="0" w:line="312" w:lineRule="auto"/>
        <w:rPr>
          <w:sz w:val="20"/>
          <w:szCs w:val="20"/>
          <w:color w:val="auto"/>
        </w:rPr>
      </w:pPr>
      <w:r>
        <w:rPr>
          <w:rFonts w:ascii="Arial" w:cs="Arial" w:eastAsia="Arial" w:hAnsi="Arial"/>
          <w:sz w:val="16"/>
          <w:szCs w:val="16"/>
          <w:color w:val="auto"/>
        </w:rPr>
        <w:t>The increase in income tax expense for the three and nine months ended September 30, 2014 compared to the three and nine months ended September 30, 2013 was primarily due to the tax expense of the amortization of the deferred tax asset created in connection with our IPO, as well as an increase in PAA’s income tax expense, primarily resulting from higher year over year earnings from taxable Canadian operations.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(ii) borrowings under the PAA commercial paper program or the credit facilities and (iii) funds received from PAA’s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the credit facilities. In addition, we generally expect to fund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PAA equity or debt securities. As of September 30, 2014, we had a working capital deficit of $408 million and approximately $2.6 billion of liquidity available to meet our ongoing operating, investing and financing needs as noted below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w:t>
            </w:r>
          </w:p>
        </w:tc>
      </w:tr>
      <w:tr>
        <w:trPr>
          <w:trHeight w:val="171"/>
        </w:trPr>
        <w:tc>
          <w:tcPr>
            <w:tcW w:w="9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September 30, 2014</w:t>
            </w:r>
          </w:p>
        </w:tc>
      </w:tr>
      <w:tr>
        <w:trPr>
          <w:trHeight w:val="210"/>
        </w:trPr>
        <w:tc>
          <w:tcPr>
            <w:tcW w:w="95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520" w:type="dxa"/>
            <w:vAlign w:val="bottom"/>
          </w:tcPr>
          <w:p>
            <w:pPr>
              <w:spacing w:after="0" w:line="216"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3"/>
                <w:szCs w:val="23"/>
                <w:color w:val="auto"/>
                <w:vertAlign w:val="superscript"/>
              </w:rPr>
              <w:t>(1)</w:t>
            </w:r>
          </w:p>
        </w:tc>
        <w:tc>
          <w:tcPr>
            <w:tcW w:w="1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1,343</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Less: Amounts outstanding under PAA commercial paper program</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w:t>
            </w:r>
          </w:p>
        </w:tc>
      </w:tr>
      <w:tr>
        <w:trPr>
          <w:trHeight w:val="210"/>
        </w:trPr>
        <w:tc>
          <w:tcPr>
            <w:tcW w:w="952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120" w:type="dxa"/>
            <w:vAlign w:val="bottom"/>
          </w:tcPr>
          <w:p>
            <w:pPr>
              <w:spacing w:after="0"/>
              <w:rPr>
                <w:sz w:val="18"/>
                <w:szCs w:val="18"/>
                <w:color w:val="auto"/>
              </w:rPr>
            </w:pP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Availability under AAP senior secured revolving credit facility</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r>
      <w:tr>
        <w:trPr>
          <w:trHeight w:val="210"/>
        </w:trPr>
        <w:tc>
          <w:tcPr>
            <w:tcW w:w="9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700" w:hanging="652"/>
        <w:spacing w:after="0" w:line="227" w:lineRule="auto"/>
        <w:tabs>
          <w:tab w:leader="none" w:pos="64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Represents availability prior to giving effect to amounts outstanding under the PAA commercial paper program. Borrowings under the PAA commercial paper program reduce available capacity under the facility.</w:t>
      </w:r>
    </w:p>
    <w:p>
      <w:pPr>
        <w:spacing w:after="0" w:line="202"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“Risk Factors” in Item 1A of our 2013 Annual Report on Form 10-K for further discussion regarding risks that may impact our liquidity and capital resources. Usage of the PAA credit facilities, which provide the backstop for the PAA commercial paper program, and the AAP credit facility is subject to ongoing compliance with covenants. As of September 30, 2014, PAA and AAP were in compliance with all such 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 activities, see “Liquidity and Capital Resources-Cash Flow from Operating Activities” under Item 7 of our 2013 Annual Report on Form 10-K.</w:t>
      </w:r>
    </w:p>
    <w:p>
      <w:pPr>
        <w:spacing w:after="0" w:line="18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Net cash provided by operating activities for the first nine months of 2014 was approximately $1.3 billion, primarily resulting from earnings from our operations. Net cash provided by operating activities for the first nine months of 2013 of approximately $1.6 billion also resulted primarily from earnings from our operations. In addition, we decreased the amount of our inventory during the first nine months of 2013, primarily due to the sale of crude oil inventory that had been stored during the contango market. This decrease in crude oil inventory was partially offset by an increase in NGL inventory as we began to increase inventory levels in preparation for end users’ increased demand for product used for heating during the peak heating season of November through March. The net proceeds received from liquidation of our crude oil inventory during this period was used to repay borrowings under credit facilities or the PAA commercial paper program and favorably impacted our cash flow from operating activities.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 addition to operating needs discussed above, we also use cash for acquisition activities and internal growth projects. We have made and will continue to make capital expenditures for acquisitions, expansion capital and maintenance capital.</w:t>
      </w:r>
    </w:p>
    <w:p>
      <w:pPr>
        <w:sectPr>
          <w:pgSz w:w="11900" w:h="16838" w:orient="portrait"/>
          <w:cols w:equalWidth="0" w:num="1">
            <w:col w:w="11400"/>
          </w:cols>
          <w:pgMar w:left="240" w:top="121" w:right="259" w:bottom="0" w:gutter="0" w:footer="0" w:header="0"/>
        </w:sectPr>
      </w:pPr>
    </w:p>
    <w:bookmarkStart w:id="29" w:name="page30"/>
    <w:bookmarkEnd w:id="29"/>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2014 Capital Expansion Projects. </w:t>
      </w:r>
      <w:r>
        <w:rPr>
          <w:rFonts w:ascii="Arial" w:cs="Arial" w:eastAsia="Arial" w:hAnsi="Arial"/>
          <w:sz w:val="18"/>
          <w:szCs w:val="18"/>
          <w:color w:val="auto"/>
        </w:rPr>
        <w:t>See “—Acquisitions and Internal Growth Projects” for detail of our projected capital expenditures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ending December 31, 2014. We expect the majority of funding for our remaining 2014 capital program will continue to be provided by borrowings under the PAA commercial paper program, the credit facilities and cash flow in excess of partnership distributions, as well as through our access to the capital markets for equity and debt as we deem necessary.</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The price of acquisitions includes cash paid, assumed liabilities and net working capital items. Because of the non-cash items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total price of the acquisition and the timing of certain cash payments, the net cash paid may differ significantly from the total price of the acquisitions completed during the period. Historically, we have financed acquisitions primarily with cash generated from operating activities and the financing activities discussed below.</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of November 5, 2014, PAA entered into a definitive purchase and sale agreement with Oxy that provides for PAA’s purchase of Oxy’s 50% interest in BridgeTex for $1.075 billion. See Note 14 to our condensed consolidated financial statements for details of this potential acquisition, including discussion of conditions precedent to closing. PAA intends to initially use borrowings under the PAA commercial paper program to fund this acquisition. On a long-term basis, PAA intends to follow its financial strategy by funding at least 55% of the acquisition with equity and cash flow in excess of distributions and the remaining amount with long-term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a consolidated basis, our financing activities primarily relate to funding acquisitions, internal capital expansion projects and refinancing our debt maturities, as well as short-term working capital and hedged inventory borrowings related to our NGL business and contango market activities. Our financing activities have primarily consisted of PAA equity offerings, PAA senior notes offerings and borrowings and repayments under the PAA commercial paper program or credit facilities, as well as payments to our Class A shareholders and noncontrolling interests.</w:t>
      </w:r>
    </w:p>
    <w:p>
      <w:pPr>
        <w:spacing w:after="0" w:line="17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PAA Registration Statements</w:t>
      </w:r>
      <w:r>
        <w:rPr>
          <w:rFonts w:ascii="Arial" w:cs="Arial" w:eastAsia="Arial" w:hAnsi="Arial"/>
          <w:sz w:val="17"/>
          <w:szCs w:val="17"/>
          <w:color w:val="auto"/>
        </w:rPr>
        <w:t>. PAA periodically accesses the capital markets for both equity and debt financing. PAA has filed with the SEC a</w:t>
      </w:r>
      <w:r>
        <w:rPr>
          <w:rFonts w:ascii="Arial" w:cs="Arial" w:eastAsia="Arial" w:hAnsi="Arial"/>
          <w:sz w:val="17"/>
          <w:szCs w:val="17"/>
          <w:i w:val="1"/>
          <w:iCs w:val="1"/>
          <w:color w:val="auto"/>
        </w:rPr>
        <w:t xml:space="preserve"> </w:t>
      </w:r>
      <w:r>
        <w:rPr>
          <w:rFonts w:ascii="Arial" w:cs="Arial" w:eastAsia="Arial" w:hAnsi="Arial"/>
          <w:sz w:val="17"/>
          <w:szCs w:val="17"/>
          <w:color w:val="auto"/>
        </w:rPr>
        <w:t>universal shelf registration statement that, subject to effectiveness at the time of use, allows PAA to issue up to an aggregate of $2.0 billion of debt or equity securities (“Traditional Shelf”). All issuances of equity securities associated with PAA’s continuous offering program, as discussed further below, have been issued pursuant to the Traditional Shelf. At September 30, 2014, PAA had approximately $809 million of unsold securities available under the Traditional Shelf. PAA also has access to a universal shelf registration statement (“WKSI Shelf”), which provides it with the ability to offer and sell an unlimited amount of debt and equity securities via an underwritten offering, subject to market conditions and capital needs.</w:t>
      </w:r>
    </w:p>
    <w:p>
      <w:pPr>
        <w:spacing w:after="0" w:line="17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PAA Continuous Offering Program</w:t>
      </w:r>
      <w:r>
        <w:rPr>
          <w:rFonts w:ascii="Arial" w:cs="Arial" w:eastAsia="Arial" w:hAnsi="Arial"/>
          <w:sz w:val="17"/>
          <w:szCs w:val="17"/>
          <w:color w:val="auto"/>
        </w:rPr>
        <w:t>. In August 2014, PAA entered into an equity distribution agreement with several financial institutions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PAA may offer and sell, through sales agents, common units representing limited partner interests having an aggregate offering price of up to $900 million. During the nine months ended September 30, 2014, PAA issued an aggregate of approximately 11.8 million common units under its continuous offering program, generating net proceeds of $655 million. The net proceeds from sales were used for general partnership purposes.</w:t>
      </w:r>
    </w:p>
    <w:p>
      <w:pPr>
        <w:spacing w:after="0" w:line="17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i w:val="1"/>
          <w:iCs w:val="1"/>
          <w:color w:val="auto"/>
        </w:rPr>
        <w:t xml:space="preserve">Credit Agreements, Commercial Paper Program and Indentures. </w:t>
      </w:r>
      <w:r>
        <w:rPr>
          <w:rFonts w:ascii="Arial" w:cs="Arial" w:eastAsia="Arial" w:hAnsi="Arial"/>
          <w:sz w:val="16"/>
          <w:szCs w:val="16"/>
          <w:color w:val="auto"/>
        </w:rPr>
        <w:t>The PAA credit agreements (which impact the ability to access the PAA</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paper program because they provide the backstop that supports PAA’s short-term credit ratings), the AAP credit agreement and the indentures governing PAA’s senior notes contain cross-default provisions. A default under the credit agreements would permit the lenders to accelerate the maturity of the outstanding debt. As long as PAA and AAP are in compliance with the provisions in the credit agreements, their ability to make distributions of available cash is not restricted. PAA and AAP were in compliance with the covenants contained in the credit agreements and indentures as of September 30, 2014.</w:t>
      </w:r>
    </w:p>
    <w:p>
      <w:pPr>
        <w:spacing w:after="0" w:line="15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On a consolidated basis, during the nine months ended September 30, 2014 and 2013, we had net repayments on the credit agreements and PAA commercial paper program of $667 million and $163 million, respectively. The net repayments during both periods resulted primarily from cash flow from operating activities, as well as cash received from PAA’s debt and equity activities.</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August 2014, PAA extended the maturity dates of its senior secured hedged inventory facility and senior unsecured revolving credit facility by one year through the exercise of the option included in the current credit agreements. The PAA senior secured hedged inventory facility and the PAA senior unsecured revolving credit facility now mature in August 2017 and August 2019, respectively.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In September 2014, AAP extended the maturity dates of its term loan and senior secured revolving credit facility by one year through the exercise of the option included in the current credit agreement. The AAP term loan and AAP senior secured revolving credit facility now mature in September 2019.</w:t>
      </w:r>
    </w:p>
    <w:p>
      <w:pPr>
        <w:spacing w:after="0" w:line="12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Effective October 20, 2014, the maximum aggregate borrowing capacity under the PAA commercial paper program was increased from $1.5 billion to $3.0 billion.</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April 2014, PAA completed the issuance of $700 million, 4.70% senior notes due 2044 at a public offering price of 99.734%. Interest payments are due on June 15 and December 15 of each year, commencing on December 15, 2014. The net proceeds from this offering of $691 million, after deducting the underwriting discount and offering expenses, were used to repay outstanding borrowings under the PAA commercial paper program and for general partnership purposes.</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September 2014, PAA completed the issuance of $750 million, 3.60% senior notes due 2024 at a public offering price of 99.842%. Interest payments are due on May 1 and November 1 of each year, commencing on May 1, 2015. The net proceeds from this offering of $743 million, after deducting the underwriting discount and offering expenses, was used to repay outstanding borrowings under the PAA commercial paper program and for general partnership purposes.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PAA’s $150 million, 5.25% senior notes will mature in June 2015, and PAA’s $400 million, 3.95% senior notes will mature in September 2015.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PAA commercial paper program are intended to be used to repay these senior notes when they mature.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Paid to Our Class A Shareholders and Noncontrolling Interests</w:t>
      </w:r>
    </w:p>
    <w:p>
      <w:pPr>
        <w:sectPr>
          <w:pgSz w:w="11900" w:h="16838" w:orient="portrait"/>
          <w:cols w:equalWidth="0" w:num="1">
            <w:col w:w="11400"/>
          </w:cols>
          <w:pgMar w:left="240" w:top="125" w:right="259" w:bottom="100" w:gutter="0" w:footer="0" w:header="0"/>
        </w:sectPr>
      </w:pPr>
    </w:p>
    <w:bookmarkStart w:id="30" w:name="page31"/>
    <w:bookmarkEnd w:id="30"/>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Distributions to our Class A shareholders. </w:t>
      </w:r>
      <w:r>
        <w:rPr>
          <w:rFonts w:ascii="Arial" w:cs="Arial" w:eastAsia="Arial" w:hAnsi="Arial"/>
          <w:sz w:val="18"/>
          <w:szCs w:val="18"/>
          <w:color w:val="auto"/>
        </w:rPr>
        <w:t>We distribute 100% of our available cash within 55 days after the end of each quarter to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 record. Available cash is generally defined as all of our cash and cash equivalents on hand at the end of each quarter less reserves established in the discretion of our general partner for future requirements. On November 14, 2014, we will pay a distribution of $0.19075 per Class A share. See Note 8 to our condensed consolidated financial statements for details of distributions paid. Also, see Item 5. “Market for Registrant’s Shares, Related Shareholder Matters and Issuer Purchases of Equity Securities-Cash Distribution Policy” included in our 2013 Annual Report on Form 10-K for additional discussion on distributions.</w:t>
      </w:r>
    </w:p>
    <w:p>
      <w:pPr>
        <w:spacing w:after="0" w:line="19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Distributions to noncontrolling interests represent amounts paid on interests in consolidated entities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owned by us. During the nine months ended September 30, 2014 and 2013 we paid distributions of approximately $959 million and $1.2 billion, respectively, to noncontrolling interests.</w:t>
      </w:r>
    </w:p>
    <w:p>
      <w:pPr>
        <w:spacing w:after="0" w:line="181"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11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NGL from third parties under contracts,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range in term from thirty-day evergreen to five years with a limited number of contracts extending up to approximately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September 30, 2014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Remainder of</w:t>
            </w: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2019 and</w:t>
            </w:r>
          </w:p>
        </w:tc>
        <w:tc>
          <w:tcPr>
            <w:tcW w:w="180" w:type="dxa"/>
            <w:vAlign w:val="bottom"/>
          </w:tcPr>
          <w:p>
            <w:pPr>
              <w:spacing w:after="0"/>
              <w:rPr>
                <w:sz w:val="14"/>
                <w:szCs w:val="14"/>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Thereafter</w:t>
            </w:r>
          </w:p>
        </w:tc>
        <w:tc>
          <w:tcPr>
            <w:tcW w:w="1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Long-term debt, including current</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maturities and related interest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payments </w:t>
            </w:r>
            <w:r>
              <w:rPr>
                <w:rFonts w:ascii="Arial" w:cs="Arial" w:eastAsia="Arial" w:hAnsi="Arial"/>
                <w:sz w:val="23"/>
                <w:szCs w:val="23"/>
                <w:color w:val="auto"/>
                <w:vertAlign w:val="superscript"/>
              </w:rPr>
              <w:t>(1)</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line="216"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180"/>
              <w:spacing w:after="0"/>
              <w:rPr>
                <w:sz w:val="20"/>
                <w:szCs w:val="20"/>
                <w:color w:val="auto"/>
              </w:rPr>
            </w:pPr>
            <w:r>
              <w:rPr>
                <w:rFonts w:ascii="Arial" w:cs="Arial" w:eastAsia="Arial" w:hAnsi="Arial"/>
                <w:sz w:val="18"/>
                <w:szCs w:val="18"/>
                <w:color w:val="auto"/>
              </w:rPr>
              <w:t>Subtotal</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10,968</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Crude oil, natural gas, NGL and other</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purchases </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4,360</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4,987</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8,215</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4,585</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5,932</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19,183</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49,806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 w:hanging="652"/>
        <w:spacing w:after="0"/>
        <w:tabs>
          <w:tab w:leader="none" w:pos="64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Includes debt service payments, interest payments due on PAA’s senior notes, interest payments on long-term borrowings outstanding under the AAP credit agreement and the commitment fee on assumed available capacity under the PAA revolving credit facilities. Although there may be short-term borrowings under the PAA revolving credit facilities and the PAA commercial paper program, we historically repay and borrow at varying amounts. As such, we have included only the maximum commitment fee (as if no short-term borrowings were outstanding on the facilities or the PAA commercial paper program) in the amounts above.</w:t>
      </w:r>
    </w:p>
    <w:p>
      <w:pPr>
        <w:sectPr>
          <w:pgSz w:w="11900" w:h="16838" w:orient="portrait"/>
          <w:cols w:equalWidth="0" w:num="1">
            <w:col w:w="11420"/>
          </w:cols>
          <w:pgMar w:left="240" w:top="125" w:right="239" w:bottom="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Leases are primarily for (i) surface rentals, (ii) office rent, (iii) pipeline assets and (iv) trucks, trailers and railcars.</w:t>
      </w:r>
    </w:p>
    <w:p>
      <w:pPr>
        <w:spacing w:after="0" w:line="225" w:lineRule="exact"/>
        <w:rPr>
          <w:sz w:val="20"/>
          <w:szCs w:val="20"/>
          <w:color w:val="auto"/>
        </w:rPr>
      </w:pPr>
    </w:p>
    <w:p>
      <w:pPr>
        <w:ind w:left="20" w:right="40" w:hanging="11"/>
        <w:spacing w:after="0" w:line="264" w:lineRule="auto"/>
        <w:rPr>
          <w:sz w:val="20"/>
          <w:szCs w:val="20"/>
          <w:color w:val="auto"/>
        </w:rPr>
      </w:pPr>
      <w:r>
        <w:rPr>
          <w:rFonts w:ascii="Arial" w:cs="Arial" w:eastAsia="Arial" w:hAnsi="Arial"/>
          <w:sz w:val="18"/>
          <w:szCs w:val="18"/>
          <w:color w:val="auto"/>
        </w:rPr>
        <w:t>Includes (i) other long-term liabilities, (ii) storage, processing and transportation agreements and (iii) commitments related to capital expansion projects, including projected contributions for our share of the capital spending of our equity-method investments. Excludes a non-current liability of $2 million related to derivative activity included in Crude oil, natural gas, NGL and other purchases.</w:t>
      </w:r>
    </w:p>
    <w:p>
      <w:pPr>
        <w:spacing w:after="0" w:line="181" w:lineRule="exact"/>
        <w:rPr>
          <w:sz w:val="20"/>
          <w:szCs w:val="20"/>
          <w:color w:val="auto"/>
        </w:rPr>
      </w:pPr>
    </w:p>
    <w:p>
      <w:pPr>
        <w:ind w:left="20" w:right="60" w:hanging="11"/>
        <w:spacing w:after="0" w:line="286" w:lineRule="auto"/>
        <w:rPr>
          <w:sz w:val="20"/>
          <w:szCs w:val="20"/>
          <w:color w:val="auto"/>
        </w:rPr>
      </w:pPr>
      <w:r>
        <w:rPr>
          <w:rFonts w:ascii="Arial" w:cs="Arial" w:eastAsia="Arial" w:hAnsi="Arial"/>
          <w:sz w:val="17"/>
          <w:szCs w:val="17"/>
          <w:color w:val="auto"/>
        </w:rPr>
        <w:t>Amounts are primarily based on estimated volumes and market prices based on average activity during September 2014.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66"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ind w:right="160" w:firstLine="648"/>
        <w:spacing w:after="0" w:line="312" w:lineRule="auto"/>
        <w:rPr>
          <w:sz w:val="20"/>
          <w:szCs w:val="20"/>
          <w:color w:val="auto"/>
        </w:rPr>
      </w:pPr>
      <w:r>
        <w:rPr>
          <w:rFonts w:ascii="Arial" w:cs="Arial" w:eastAsia="Arial" w:hAnsi="Arial"/>
          <w:sz w:val="16"/>
          <w:szCs w:val="16"/>
          <w:i w:val="1"/>
          <w:iCs w:val="1"/>
          <w:color w:val="auto"/>
        </w:rPr>
        <w:t xml:space="preserve">Letters of Credit. </w:t>
      </w:r>
      <w:r>
        <w:rPr>
          <w:rFonts w:ascii="Arial" w:cs="Arial" w:eastAsia="Arial" w:hAnsi="Arial"/>
          <w:sz w:val="16"/>
          <w:szCs w:val="16"/>
          <w:color w:val="auto"/>
        </w:rPr>
        <w:t>In connection with supply and logistics activities, we provide certain suppliers with irrevocable standby letters of credit to secure</w:t>
      </w:r>
      <w:r>
        <w:rPr>
          <w:rFonts w:ascii="Arial" w:cs="Arial" w:eastAsia="Arial" w:hAnsi="Arial"/>
          <w:sz w:val="16"/>
          <w:szCs w:val="16"/>
          <w:i w:val="1"/>
          <w:iCs w:val="1"/>
          <w:color w:val="auto"/>
        </w:rPr>
        <w:t xml:space="preserve"> </w:t>
      </w:r>
      <w:r>
        <w:rPr>
          <w:rFonts w:ascii="Arial" w:cs="Arial" w:eastAsia="Arial" w:hAnsi="Arial"/>
          <w:sz w:val="16"/>
          <w:szCs w:val="16"/>
          <w:color w:val="auto"/>
        </w:rPr>
        <w:t>our obligation for the purchase of crude oil, NGL and natural gas. Additionally, we issue letters of credit to support insurance programs and construction activities. At September 30, 2014 and December 31, 2013, we had outstanding letters of credit of $66 million and $41 million, respectively.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ectPr>
          <w:pgSz w:w="11900" w:h="16838" w:orient="portrait"/>
          <w:cols w:equalWidth="0" w:num="1">
            <w:col w:w="11420"/>
          </w:cols>
          <w:pgMar w:left="240" w:top="125" w:right="239" w:bottom="0" w:gutter="0" w:footer="0" w:header="0"/>
          <w:type w:val="continuous"/>
        </w:sectPr>
      </w:pPr>
    </w:p>
    <w:bookmarkStart w:id="31" w:name="page32"/>
    <w:bookmarkEnd w:id="31"/>
    <w:p>
      <w:pPr>
        <w:ind w:left="6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For additional discussion regarding our critical accounting policies and estimates, see “Critical Accounting Policies and Estimates” under Item 7 of our 2013 Annual Report on Form 10-K.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AAP;</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200" w:hanging="324"/>
        <w:spacing w:after="0" w:line="264"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spacing w:after="0" w:line="181" w:lineRule="exact"/>
        <w:rPr>
          <w:rFonts w:ascii="Arial" w:cs="Arial" w:eastAsia="Arial" w:hAnsi="Arial"/>
          <w:sz w:val="18"/>
          <w:szCs w:val="18"/>
          <w:color w:val="auto"/>
        </w:rPr>
      </w:pPr>
    </w:p>
    <w:p>
      <w:pPr>
        <w:ind w:left="980" w:right="280" w:hanging="324"/>
        <w:spacing w:after="0" w:line="308" w:lineRule="auto"/>
        <w:tabs>
          <w:tab w:leader="none" w:pos="944" w:val="left"/>
        </w:tabs>
        <w:numPr>
          <w:ilvl w:val="0"/>
          <w:numId w:val="31"/>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or other event, including attacks on our electronic and computer systems;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access to capital;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right="840" w:hanging="324"/>
        <w:spacing w:after="0" w:line="277"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effects of competition;</w:t>
      </w:r>
    </w:p>
    <w:p>
      <w:pPr>
        <w:sectPr>
          <w:pgSz w:w="11900" w:h="16838" w:orient="portrait"/>
          <w:cols w:equalWidth="0" w:num="1">
            <w:col w:w="11400"/>
          </w:cols>
          <w:pgMar w:left="240" w:top="121" w:right="259" w:bottom="0" w:gutter="0" w:footer="0" w:header="0"/>
        </w:sectPr>
      </w:pPr>
    </w:p>
    <w:bookmarkStart w:id="32" w:name="page33"/>
    <w:bookmarkEnd w:id="32"/>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80" w:right="60" w:hanging="324"/>
        <w:spacing w:after="0" w:line="277"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140" w:hanging="324"/>
        <w:spacing w:after="0" w:line="308" w:lineRule="auto"/>
        <w:tabs>
          <w:tab w:leader="none" w:pos="944" w:val="left"/>
        </w:tabs>
        <w:numPr>
          <w:ilvl w:val="0"/>
          <w:numId w:val="33"/>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2013 Annual Report on Form 10-K.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commodity price risk associated with the following commodities:</w:t>
      </w:r>
    </w:p>
    <w:p>
      <w:pPr>
        <w:spacing w:after="0" w:line="225" w:lineRule="exact"/>
        <w:rPr>
          <w:sz w:val="20"/>
          <w:szCs w:val="20"/>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i w:val="1"/>
          <w:iCs w:val="1"/>
          <w:u w:val="single" w:color="auto"/>
          <w:color w:val="auto"/>
        </w:rPr>
        <w:t>Crude oil and refined products</w:t>
      </w:r>
    </w:p>
    <w:p>
      <w:pPr>
        <w:spacing w:after="0" w:line="225" w:lineRule="exact"/>
        <w:rPr>
          <w:sz w:val="20"/>
          <w:szCs w:val="20"/>
          <w:color w:val="auto"/>
        </w:rPr>
      </w:pPr>
    </w:p>
    <w:p>
      <w:pPr>
        <w:ind w:left="980" w:right="120"/>
        <w:spacing w:after="0" w:line="259" w:lineRule="auto"/>
        <w:rPr>
          <w:sz w:val="20"/>
          <w:szCs w:val="20"/>
          <w:color w:val="auto"/>
        </w:rPr>
      </w:pPr>
      <w:r>
        <w:rPr>
          <w:rFonts w:ascii="Arial" w:cs="Arial" w:eastAsia="Arial" w:hAnsi="Arial"/>
          <w:sz w:val="18"/>
          <w:szCs w:val="18"/>
          <w:color w:val="auto"/>
        </w:rPr>
        <w:t>We utilize crude oil and refined products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87" w:lineRule="exact"/>
        <w:rPr>
          <w:sz w:val="20"/>
          <w:szCs w:val="20"/>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i w:val="1"/>
          <w:iCs w:val="1"/>
          <w:u w:val="single" w:color="auto"/>
          <w:color w:val="auto"/>
        </w:rPr>
        <w:t>Natural gas</w:t>
      </w:r>
    </w:p>
    <w:p>
      <w:pPr>
        <w:spacing w:after="0" w:line="225" w:lineRule="exact"/>
        <w:rPr>
          <w:sz w:val="20"/>
          <w:szCs w:val="20"/>
          <w:color w:val="auto"/>
        </w:rPr>
      </w:pPr>
    </w:p>
    <w:p>
      <w:pPr>
        <w:jc w:val="both"/>
        <w:ind w:left="980" w:right="220"/>
        <w:spacing w:after="0" w:line="264"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81" w:lineRule="exact"/>
        <w:rPr>
          <w:sz w:val="20"/>
          <w:szCs w:val="20"/>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i w:val="1"/>
          <w:iCs w:val="1"/>
          <w:u w:val="single" w:color="auto"/>
          <w:color w:val="auto"/>
        </w:rPr>
        <w:t>NGL</w:t>
      </w:r>
    </w:p>
    <w:p>
      <w:pPr>
        <w:spacing w:after="0" w:line="225" w:lineRule="exact"/>
        <w:rPr>
          <w:sz w:val="20"/>
          <w:szCs w:val="20"/>
          <w:color w:val="auto"/>
        </w:rPr>
      </w:pPr>
    </w:p>
    <w:p>
      <w:pPr>
        <w:ind w:left="980" w:right="460"/>
        <w:spacing w:after="0" w:line="286" w:lineRule="auto"/>
        <w:rPr>
          <w:sz w:val="20"/>
          <w:szCs w:val="20"/>
          <w:color w:val="auto"/>
        </w:rPr>
      </w:pPr>
      <w:r>
        <w:rPr>
          <w:rFonts w:ascii="Arial" w:cs="Arial" w:eastAsia="Arial" w:hAnsi="Arial"/>
          <w:sz w:val="17"/>
          <w:szCs w:val="17"/>
          <w:color w:val="auto"/>
        </w:rPr>
        <w:t>We utilize NGL derivatives, primarily butane and propane derivatives, to hedge commodity price risk inherent in our Supply and Logistics segment. Our objectives for these derivatives include hedging anticipated purchases and sales. We manage these exposures with various instruments including exchange-traded and over-the-counter futures, forwards, swaps and options.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10 to our condensed consolidated financial statements for further discussion regarding our hedging strategies and objectives.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Our policy is to (i) purchase only product for which we have a market, (ii) hedge our purchase and sales contracts so that price fluctuations do not materially affect our operating income and (iii) not acquire and hold physical inventory or other derivative instruments for the purpose of speculating on outright commodity price changes, as these activities could expose us to significant losses.</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September 30, 2014 that would be expected from a 10% price increase or decrease is shown in 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100" w:type="dxa"/>
            <w:vAlign w:val="bottom"/>
            <w:vMerge w:val="restart"/>
          </w:tcPr>
          <w:p>
            <w:pPr>
              <w:jc w:val="right"/>
              <w:ind w:right="26"/>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Effect of 10%</w:t>
            </w:r>
          </w:p>
        </w:tc>
        <w:tc>
          <w:tcPr>
            <w:tcW w:w="16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Price Increase</w:t>
            </w:r>
          </w:p>
        </w:tc>
        <w:tc>
          <w:tcPr>
            <w:tcW w:w="16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Price Decrease</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 and related products</w:t>
            </w:r>
          </w:p>
        </w:tc>
        <w:tc>
          <w:tcPr>
            <w:tcW w:w="1100" w:type="dxa"/>
            <w:vAlign w:val="bottom"/>
            <w:tcBorders>
              <w:top w:val="single" w:sz="8" w:color="auto"/>
            </w:tcBorders>
            <w:shd w:val="clear" w:color="auto" w:fill="CCEEFF"/>
          </w:tcPr>
          <w:p>
            <w:pPr>
              <w:jc w:val="right"/>
              <w:ind w:right="94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Natural gas</w:t>
            </w:r>
          </w:p>
        </w:tc>
        <w:tc>
          <w:tcPr>
            <w:tcW w:w="110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NGL and other</w:t>
            </w:r>
          </w:p>
        </w:tc>
        <w:tc>
          <w:tcPr>
            <w:tcW w:w="1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66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1100" w:type="dxa"/>
            <w:vAlign w:val="bottom"/>
            <w:tcBorders>
              <w:bottom w:val="single" w:sz="8" w:color="auto"/>
            </w:tcBorders>
          </w:tcPr>
          <w:p>
            <w:pPr>
              <w:jc w:val="right"/>
              <w:ind w:right="946"/>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w:t>
      </w:r>
    </w:p>
    <w:p>
      <w:pPr>
        <w:sectPr>
          <w:pgSz w:w="11900" w:h="16838" w:orient="portrait"/>
          <w:cols w:equalWidth="0" w:num="1">
            <w:col w:w="11420"/>
          </w:cols>
          <w:pgMar w:left="240" w:top="125" w:right="239" w:bottom="0" w:gutter="0" w:footer="0" w:header="0"/>
        </w:sectPr>
      </w:pPr>
    </w:p>
    <w:bookmarkStart w:id="33" w:name="page34"/>
    <w:bookmarkEnd w:id="33"/>
    <w:p>
      <w:pPr>
        <w:ind w:right="320"/>
        <w:spacing w:after="0" w:line="277" w:lineRule="auto"/>
        <w:rPr>
          <w:sz w:val="20"/>
          <w:szCs w:val="20"/>
          <w:color w:val="auto"/>
        </w:rPr>
      </w:pPr>
      <w:r>
        <w:rPr>
          <w:rFonts w:ascii="Arial" w:cs="Arial" w:eastAsia="Arial" w:hAnsi="Arial"/>
          <w:sz w:val="18"/>
          <w:szCs w:val="18"/>
          <w:color w:val="auto"/>
        </w:rPr>
        <w:t>commodity prices, the fair value of our derivative portfolio would typically change less than that shown in the table as changes in near-term prices are not typically mirrored in delivery months further out.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use of variable rate debt and any forecasted issuances of fixed rate debt expose us to interest rate risk. Therefore, from time to time we use interest rate derivatives to hedge interest rate risk associated with anticipated debt issuances and, in certain cases, outstanding debt instruments. All of our senior notes are fixed rate notes and thus are not subject to interest rate risk. The majority of our variable rate debt at September 30, 2014, $954 million, is subject to interest rate re-sets, which range from one week to three months. The average interest rate of approximately 0.9% is based upon rates in effect during the nine months ended September 30, 2014. The fair value of our interest rate derivatives is a liability of $15 million as of September 30, 2014. A 10% increase in the forward LIBOR curve as of September 30, 2014 would result in an increase of $17 million to the fair value of our interest rate derivatives. A 10% decrease in the forward LIBOR curve as of September 30, 2014 would result in a decrease of $17 million to the fair value of our interest rate derivatives. See Note 10 to our condensed consolidated financial statements for a discussion of our interest rate risk hedging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is a liability of $10 million as of September 30, 2014. A 10% increase in the exchange rate (USD-to-CAD) would result in a decrease of $41 million to the fair value of our foreign currency derivatives. A 10% decrease in the exchange rate (USD-to-CAD) would result in an increase of $42 million to the fair value of our foreign currency derivatives. See Note 10 to our condensed consolidated financial statements for a discussion of our currency exchange rate risk hedging.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In addition to the information concerning our DCP, we are required to disclose certain changes in internal control over financial reporting. Although we have made various enhancements to our controls, there have been no changes in our internal control over financial reporting during the period covered by this report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information required by this item is included under the caption “Litigation” in Note 11 to our condensed consolidated financial statements, and is incorporated herein by reference thereto.</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2013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ectPr>
          <w:pgSz w:w="11900" w:h="16838" w:orient="portrait"/>
          <w:cols w:equalWidth="0" w:num="1">
            <w:col w:w="11420"/>
          </w:cols>
          <w:pgMar w:left="240" w:top="125" w:right="239" w:bottom="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5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00" w:type="dxa"/>
            <w:vAlign w:val="bottom"/>
            <w:gridSpan w:val="3"/>
          </w:tcPr>
          <w:p>
            <w:pPr>
              <w:ind w:left="422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tcPr>
          <w:p>
            <w:pPr>
              <w:ind w:left="4220"/>
              <w:spacing w:after="0"/>
              <w:rPr>
                <w:sz w:val="20"/>
                <w:szCs w:val="20"/>
                <w:color w:val="auto"/>
              </w:rPr>
            </w:pPr>
            <w:r>
              <w:rPr>
                <w:rFonts w:ascii="Arial" w:cs="Arial" w:eastAsia="Arial" w:hAnsi="Arial"/>
                <w:sz w:val="18"/>
                <w:szCs w:val="18"/>
                <w:color w:val="auto"/>
              </w:rPr>
              <w:t>By:</w:t>
            </w:r>
          </w:p>
        </w:tc>
        <w:tc>
          <w:tcPr>
            <w:tcW w:w="5280" w:type="dxa"/>
            <w:vAlign w:val="bottom"/>
            <w:gridSpan w:val="2"/>
          </w:tcPr>
          <w:p>
            <w:pPr>
              <w:ind w:left="140"/>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432"/>
        </w:trPr>
        <w:tc>
          <w:tcPr>
            <w:tcW w:w="6140" w:type="dxa"/>
            <w:vAlign w:val="bottom"/>
            <w:gridSpan w:val="4"/>
          </w:tcPr>
          <w:p>
            <w:pPr>
              <w:spacing w:after="0"/>
              <w:rPr>
                <w:sz w:val="20"/>
                <w:szCs w:val="20"/>
                <w:color w:val="auto"/>
              </w:rPr>
            </w:pPr>
            <w:r>
              <w:rPr>
                <w:rFonts w:ascii="Arial" w:cs="Arial" w:eastAsia="Arial" w:hAnsi="Arial"/>
                <w:sz w:val="18"/>
                <w:szCs w:val="18"/>
                <w:color w:val="auto"/>
              </w:rPr>
              <w:t>Date: November 7, 2014</w:t>
            </w: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tcPr>
          <w:p>
            <w:pPr>
              <w:ind w:left="422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Greg L. Armstrong</w:t>
            </w:r>
          </w:p>
        </w:tc>
        <w:tc>
          <w:tcPr>
            <w:tcW w:w="40" w:type="dxa"/>
            <w:vAlign w:val="bottom"/>
          </w:tcPr>
          <w:p>
            <w:pPr>
              <w:spacing w:after="0"/>
              <w:rPr>
                <w:sz w:val="24"/>
                <w:szCs w:val="24"/>
                <w:color w:val="auto"/>
              </w:rPr>
            </w:pPr>
          </w:p>
        </w:tc>
      </w:tr>
      <w:tr>
        <w:trPr>
          <w:trHeight w:val="195"/>
        </w:trPr>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40" w:type="dxa"/>
            <w:vAlign w:val="bottom"/>
          </w:tcPr>
          <w:p>
            <w:pPr>
              <w:jc w:val="center"/>
              <w:spacing w:after="0" w:line="195" w:lineRule="exact"/>
              <w:rPr>
                <w:sz w:val="20"/>
                <w:szCs w:val="20"/>
                <w:color w:val="auto"/>
              </w:rPr>
            </w:pPr>
            <w:r>
              <w:rPr>
                <w:rFonts w:ascii="Arial" w:cs="Arial" w:eastAsia="Arial" w:hAnsi="Arial"/>
                <w:sz w:val="18"/>
                <w:szCs w:val="18"/>
                <w:color w:val="auto"/>
                <w:w w:val="92"/>
              </w:rPr>
              <w:t xml:space="preserve">Greg L. Armstrong, </w:t>
            </w:r>
            <w:r>
              <w:rPr>
                <w:rFonts w:ascii="Arial" w:cs="Arial" w:eastAsia="Arial" w:hAnsi="Arial"/>
                <w:sz w:val="18"/>
                <w:szCs w:val="18"/>
                <w:i w:val="1"/>
                <w:iCs w:val="1"/>
                <w:color w:val="auto"/>
                <w:w w:val="92"/>
              </w:rPr>
              <w:t>Chairman of the Board,</w:t>
            </w:r>
          </w:p>
        </w:tc>
        <w:tc>
          <w:tcPr>
            <w:tcW w:w="40" w:type="dxa"/>
            <w:vAlign w:val="bottom"/>
          </w:tcPr>
          <w:p>
            <w:pPr>
              <w:spacing w:after="0"/>
              <w:rPr>
                <w:sz w:val="16"/>
                <w:szCs w:val="16"/>
                <w:color w:val="auto"/>
              </w:rPr>
            </w:pPr>
          </w:p>
        </w:tc>
      </w:tr>
      <w:tr>
        <w:trPr>
          <w:trHeight w:val="216"/>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 and Director</w:t>
            </w:r>
          </w:p>
        </w:tc>
        <w:tc>
          <w:tcPr>
            <w:tcW w:w="4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40" w:type="dxa"/>
            <w:vAlign w:val="bottom"/>
          </w:tcPr>
          <w:p>
            <w:pPr>
              <w:spacing w:after="0"/>
              <w:rPr>
                <w:sz w:val="20"/>
                <w:szCs w:val="20"/>
                <w:color w:val="auto"/>
              </w:rPr>
            </w:pPr>
          </w:p>
        </w:tc>
      </w:tr>
      <w:tr>
        <w:trPr>
          <w:trHeight w:val="432"/>
        </w:trPr>
        <w:tc>
          <w:tcPr>
            <w:tcW w:w="6140" w:type="dxa"/>
            <w:vAlign w:val="bottom"/>
            <w:gridSpan w:val="4"/>
          </w:tcPr>
          <w:p>
            <w:pPr>
              <w:spacing w:after="0"/>
              <w:rPr>
                <w:sz w:val="20"/>
                <w:szCs w:val="20"/>
                <w:color w:val="auto"/>
              </w:rPr>
            </w:pPr>
            <w:r>
              <w:rPr>
                <w:rFonts w:ascii="Arial" w:cs="Arial" w:eastAsia="Arial" w:hAnsi="Arial"/>
                <w:sz w:val="18"/>
                <w:szCs w:val="18"/>
                <w:color w:val="auto"/>
              </w:rPr>
              <w:t>Date: November 7, 2014</w:t>
            </w: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tcPr>
          <w:p>
            <w:pPr>
              <w:ind w:left="422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Al Swanson</w:t>
            </w:r>
          </w:p>
        </w:tc>
        <w:tc>
          <w:tcPr>
            <w:tcW w:w="40" w:type="dxa"/>
            <w:vAlign w:val="bottom"/>
          </w:tcPr>
          <w:p>
            <w:pPr>
              <w:spacing w:after="0"/>
              <w:rPr>
                <w:sz w:val="24"/>
                <w:szCs w:val="24"/>
                <w:color w:val="auto"/>
              </w:rPr>
            </w:pPr>
          </w:p>
        </w:tc>
      </w:tr>
      <w:tr>
        <w:trPr>
          <w:trHeight w:val="195"/>
        </w:trPr>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40" w:type="dxa"/>
            <w:vAlign w:val="bottom"/>
          </w:tcPr>
          <w:p>
            <w:pPr>
              <w:jc w:val="center"/>
              <w:spacing w:after="0" w:line="195" w:lineRule="exact"/>
              <w:rPr>
                <w:sz w:val="20"/>
                <w:szCs w:val="20"/>
                <w:color w:val="auto"/>
              </w:rPr>
            </w:pPr>
            <w:r>
              <w:rPr>
                <w:rFonts w:ascii="Arial" w:cs="Arial" w:eastAsia="Arial" w:hAnsi="Arial"/>
                <w:sz w:val="18"/>
                <w:szCs w:val="18"/>
                <w:color w:val="auto"/>
                <w:w w:val="90"/>
              </w:rPr>
              <w:t xml:space="preserve">Al Swanson, </w:t>
            </w:r>
            <w:r>
              <w:rPr>
                <w:rFonts w:ascii="Arial" w:cs="Arial" w:eastAsia="Arial" w:hAnsi="Arial"/>
                <w:sz w:val="18"/>
                <w:szCs w:val="18"/>
                <w:i w:val="1"/>
                <w:iCs w:val="1"/>
                <w:color w:val="auto"/>
                <w:w w:val="90"/>
              </w:rPr>
              <w:t>Executive Vice President and</w:t>
            </w:r>
          </w:p>
        </w:tc>
        <w:tc>
          <w:tcPr>
            <w:tcW w:w="40" w:type="dxa"/>
            <w:vAlign w:val="bottom"/>
          </w:tcPr>
          <w:p>
            <w:pPr>
              <w:spacing w:after="0"/>
              <w:rPr>
                <w:sz w:val="16"/>
                <w:szCs w:val="16"/>
                <w:color w:val="auto"/>
              </w:rPr>
            </w:pPr>
          </w:p>
        </w:tc>
      </w:tr>
      <w:tr>
        <w:trPr>
          <w:trHeight w:val="216"/>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c>
          <w:tcPr>
            <w:tcW w:w="4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c>
          <w:tcPr>
            <w:tcW w:w="40" w:type="dxa"/>
            <w:vAlign w:val="bottom"/>
          </w:tcPr>
          <w:p>
            <w:pPr>
              <w:spacing w:after="0"/>
              <w:rPr>
                <w:sz w:val="20"/>
                <w:szCs w:val="20"/>
                <w:color w:val="auto"/>
              </w:rPr>
            </w:pPr>
          </w:p>
        </w:tc>
      </w:tr>
      <w:tr>
        <w:trPr>
          <w:trHeight w:val="432"/>
        </w:trPr>
        <w:tc>
          <w:tcPr>
            <w:tcW w:w="6140" w:type="dxa"/>
            <w:vAlign w:val="bottom"/>
            <w:gridSpan w:val="4"/>
          </w:tcPr>
          <w:p>
            <w:pPr>
              <w:spacing w:after="0"/>
              <w:rPr>
                <w:sz w:val="20"/>
                <w:szCs w:val="20"/>
                <w:color w:val="auto"/>
              </w:rPr>
            </w:pPr>
            <w:r>
              <w:rPr>
                <w:rFonts w:ascii="Arial" w:cs="Arial" w:eastAsia="Arial" w:hAnsi="Arial"/>
                <w:sz w:val="18"/>
                <w:szCs w:val="18"/>
                <w:color w:val="auto"/>
              </w:rPr>
              <w:t>Date: November 7, 2014</w:t>
            </w: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tcPr>
          <w:p>
            <w:pPr>
              <w:ind w:left="422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Chris Herbold</w:t>
            </w:r>
          </w:p>
        </w:tc>
        <w:tc>
          <w:tcPr>
            <w:tcW w:w="40" w:type="dxa"/>
            <w:vAlign w:val="bottom"/>
          </w:tcPr>
          <w:p>
            <w:pPr>
              <w:spacing w:after="0"/>
              <w:rPr>
                <w:sz w:val="24"/>
                <w:szCs w:val="24"/>
                <w:color w:val="auto"/>
              </w:rPr>
            </w:pPr>
          </w:p>
        </w:tc>
      </w:tr>
      <w:tr>
        <w:trPr>
          <w:trHeight w:val="195"/>
        </w:trPr>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40" w:type="dxa"/>
            <w:vAlign w:val="bottom"/>
          </w:tcPr>
          <w:p>
            <w:pPr>
              <w:jc w:val="center"/>
              <w:spacing w:after="0" w:line="195" w:lineRule="exact"/>
              <w:rPr>
                <w:sz w:val="20"/>
                <w:szCs w:val="20"/>
                <w:color w:val="auto"/>
              </w:rPr>
            </w:pPr>
            <w:r>
              <w:rPr>
                <w:rFonts w:ascii="Arial" w:cs="Arial" w:eastAsia="Arial" w:hAnsi="Arial"/>
                <w:sz w:val="18"/>
                <w:szCs w:val="18"/>
                <w:color w:val="auto"/>
                <w:w w:val="91"/>
              </w:rPr>
              <w:t xml:space="preserve">Chris Herbold, </w:t>
            </w:r>
            <w:r>
              <w:rPr>
                <w:rFonts w:ascii="Arial" w:cs="Arial" w:eastAsia="Arial" w:hAnsi="Arial"/>
                <w:sz w:val="18"/>
                <w:szCs w:val="18"/>
                <w:i w:val="1"/>
                <w:iCs w:val="1"/>
                <w:color w:val="auto"/>
                <w:w w:val="91"/>
              </w:rPr>
              <w:t>Vice President- Accounting and</w:t>
            </w:r>
          </w:p>
        </w:tc>
        <w:tc>
          <w:tcPr>
            <w:tcW w:w="40" w:type="dxa"/>
            <w:vAlign w:val="bottom"/>
          </w:tcPr>
          <w:p>
            <w:pPr>
              <w:spacing w:after="0"/>
              <w:rPr>
                <w:sz w:val="16"/>
                <w:szCs w:val="16"/>
                <w:color w:val="auto"/>
              </w:rPr>
            </w:pPr>
          </w:p>
        </w:tc>
      </w:tr>
      <w:tr>
        <w:trPr>
          <w:trHeight w:val="216"/>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3"/>
              </w:rPr>
              <w:t>Chief Accounting Officer</w:t>
            </w:r>
          </w:p>
        </w:tc>
        <w:tc>
          <w:tcPr>
            <w:tcW w:w="4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c>
          <w:tcPr>
            <w:tcW w:w="4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tcPr>
          <w:p>
            <w:pPr>
              <w:ind w:left="410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6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5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7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9900" w:type="dxa"/>
            <w:vAlign w:val="bottom"/>
            <w:gridSpan w:val="3"/>
          </w:tcPr>
          <w:p>
            <w:pPr>
              <w:ind w:left="350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900" w:type="dxa"/>
            <w:vAlign w:val="bottom"/>
            <w:gridSpan w:val="3"/>
          </w:tcPr>
          <w:p>
            <w:pPr>
              <w:ind w:left="140"/>
              <w:spacing w:after="0"/>
              <w:rPr>
                <w:sz w:val="20"/>
                <w:szCs w:val="20"/>
                <w:color w:val="auto"/>
              </w:rPr>
            </w:pPr>
            <w:r>
              <w:rPr>
                <w:rFonts w:ascii="Arial" w:cs="Arial" w:eastAsia="Arial" w:hAnsi="Arial"/>
                <w:sz w:val="18"/>
                <w:szCs w:val="18"/>
                <w:color w:val="auto"/>
                <w:w w:val="93"/>
              </w:rPr>
              <w:t>Certificate of Limited Partnership of Plains GP Holdings, L.P. (incorporated by reference to Exhibit 3.1 to the Registration Statement</w:t>
            </w:r>
          </w:p>
        </w:tc>
        <w:tc>
          <w:tcPr>
            <w:tcW w:w="4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on Form S-1 (333-190227) filed July 29, 2013).</w:t>
            </w:r>
          </w:p>
        </w:tc>
        <w:tc>
          <w:tcPr>
            <w:tcW w:w="1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900" w:type="dxa"/>
            <w:vAlign w:val="bottom"/>
            <w:gridSpan w:val="3"/>
          </w:tcPr>
          <w:p>
            <w:pPr>
              <w:ind w:left="140"/>
              <w:spacing w:after="0"/>
              <w:rPr>
                <w:sz w:val="20"/>
                <w:szCs w:val="20"/>
                <w:color w:val="auto"/>
              </w:rPr>
            </w:pPr>
            <w:r>
              <w:rPr>
                <w:rFonts w:ascii="Arial" w:cs="Arial" w:eastAsia="Arial" w:hAnsi="Arial"/>
                <w:sz w:val="18"/>
                <w:szCs w:val="18"/>
                <w:color w:val="auto"/>
                <w:w w:val="93"/>
              </w:rPr>
              <w:t>Amended and Restated Limited Partnership Agreement of Plains GP Holdings, L.P. (incorporated by reference to Exhibit 3.1 to the</w:t>
            </w:r>
          </w:p>
        </w:tc>
        <w:tc>
          <w:tcPr>
            <w:tcW w:w="4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Current Report on Form 8-K filed October 25, 2013).</w:t>
            </w:r>
          </w:p>
        </w:tc>
        <w:tc>
          <w:tcPr>
            <w:tcW w:w="1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3.3</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900" w:type="dxa"/>
            <w:vAlign w:val="bottom"/>
            <w:gridSpan w:val="3"/>
          </w:tcPr>
          <w:p>
            <w:pPr>
              <w:ind w:left="140"/>
              <w:spacing w:after="0"/>
              <w:rPr>
                <w:sz w:val="20"/>
                <w:szCs w:val="20"/>
                <w:color w:val="auto"/>
              </w:rPr>
            </w:pPr>
            <w:r>
              <w:rPr>
                <w:rFonts w:ascii="Arial" w:cs="Arial" w:eastAsia="Arial" w:hAnsi="Arial"/>
                <w:sz w:val="18"/>
                <w:szCs w:val="18"/>
                <w:color w:val="auto"/>
                <w:w w:val="92"/>
              </w:rPr>
              <w:t>Certificate of Formation of PAA GP Holdings LLC (incorporated by reference to Exhibit 3.3 to the Registration Statement on Form S-</w:t>
            </w:r>
          </w:p>
        </w:tc>
        <w:tc>
          <w:tcPr>
            <w:tcW w:w="4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1 (333-190227) filed July 29, 2013).</w:t>
            </w:r>
          </w:p>
        </w:tc>
        <w:tc>
          <w:tcPr>
            <w:tcW w:w="1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3.4</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900" w:type="dxa"/>
            <w:vAlign w:val="bottom"/>
            <w:gridSpan w:val="3"/>
          </w:tcPr>
          <w:p>
            <w:pPr>
              <w:ind w:left="140"/>
              <w:spacing w:after="0"/>
              <w:rPr>
                <w:sz w:val="20"/>
                <w:szCs w:val="20"/>
                <w:color w:val="auto"/>
              </w:rPr>
            </w:pPr>
            <w:r>
              <w:rPr>
                <w:rFonts w:ascii="Arial" w:cs="Arial" w:eastAsia="Arial" w:hAnsi="Arial"/>
                <w:sz w:val="18"/>
                <w:szCs w:val="18"/>
                <w:color w:val="auto"/>
                <w:w w:val="93"/>
              </w:rPr>
              <w:t>Amended and Restated Limited Liability Company Agreement of PAA GP Holdings LLC (incorporated by reference to Exhibit 3.2 to</w:t>
            </w:r>
          </w:p>
        </w:tc>
        <w:tc>
          <w:tcPr>
            <w:tcW w:w="4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9"/>
              </w:rPr>
              <w:t>the Current Report on Form 8-K filed October 25, 2013).</w:t>
            </w:r>
          </w:p>
        </w:tc>
        <w:tc>
          <w:tcPr>
            <w:tcW w:w="1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3.5</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900" w:type="dxa"/>
            <w:vAlign w:val="bottom"/>
            <w:gridSpan w:val="3"/>
          </w:tcPr>
          <w:p>
            <w:pPr>
              <w:ind w:left="140"/>
              <w:spacing w:after="0"/>
              <w:rPr>
                <w:sz w:val="20"/>
                <w:szCs w:val="20"/>
                <w:color w:val="auto"/>
              </w:rPr>
            </w:pPr>
            <w:r>
              <w:rPr>
                <w:rFonts w:ascii="Arial" w:cs="Arial" w:eastAsia="Arial" w:hAnsi="Arial"/>
                <w:sz w:val="18"/>
                <w:szCs w:val="18"/>
                <w:color w:val="auto"/>
              </w:rPr>
              <w:t>Amendment No. 1 to Amended and Restated Limited Liability Company Agreement of PAA GP Holdings LLC, dated as of</w:t>
            </w:r>
          </w:p>
        </w:tc>
        <w:tc>
          <w:tcPr>
            <w:tcW w:w="4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00" w:type="dxa"/>
            <w:vAlign w:val="bottom"/>
            <w:gridSpan w:val="3"/>
          </w:tcPr>
          <w:p>
            <w:pPr>
              <w:ind w:left="140"/>
              <w:spacing w:after="0"/>
              <w:rPr>
                <w:sz w:val="20"/>
                <w:szCs w:val="20"/>
                <w:color w:val="auto"/>
              </w:rPr>
            </w:pPr>
            <w:r>
              <w:rPr>
                <w:rFonts w:ascii="Arial" w:cs="Arial" w:eastAsia="Arial" w:hAnsi="Arial"/>
                <w:sz w:val="18"/>
                <w:szCs w:val="18"/>
                <w:color w:val="auto"/>
                <w:w w:val="99"/>
              </w:rPr>
              <w:t>December 31, 2013 (incorporated by reference to Exhibit 3.2 to the Current Report on Form 8-K filed December 31, 2013).</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-2719705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-2719705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3.6</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6"/>
              </w:rPr>
              <w:t>Fourth Amended and Restated Agreement of Limited Partnership of Plains All American Pipeline, L.P. dated as of May 17, 2012</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(incorporated by reference to Exhibit 3.1 to PAA’s Current Report on Form 8-K filed May 23, 2012).</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3.7</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7"/>
              </w:rPr>
              <w:t>Amendment No. 1 dated October 1, 2012 to the Fourth Amended and Restated Agreement of Limited Partnership of Plains All</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7"/>
              </w:rPr>
              <w:t>American Pipeline, L.P. (incorporated by reference to Exhibit 3.1 to PAA’s Current Report on Form 8-K filed October 2, 2012).</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3.8</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4"/>
              </w:rPr>
              <w:t>Amendment No. 2 dated December 31, 2013 to the Fourth Amended and Restated Agreement of Limited Partnership of Plains All</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7"/>
              </w:rPr>
              <w:t>American Pipeline, L.P. (incorporated by reference to Exhibit 3.3 to the Current Report on Form 8-K filed December 31, 2013).</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3.9</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9"/>
              </w:rPr>
              <w:t>Sixth Amended and Restated Limited Liability Company Agreement of Plains All American GP LLC dated October 21, 2013</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(incorporated by reference to Exhibit 3.4 to the Current Report on Form 8-K filed October 25, 2013).</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3.10</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0"/>
              </w:rPr>
              <w:t>Seventh Amended and Restated Limited Partnership Agreement of Plains AAP, L.P. dated October 21, 2013 (incorporated by reference</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to Exhibit 3.3 to the Current Report on Form 8-K filed October 25, 2013).</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2"/>
              </w:rPr>
              <w:t>Amendment No. 1 dated December 31, 2013 to Seventh Amended and Restated Limited Partnership Agreement of Plains AAP, L.P.</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(incorporated by reference to Exhibit 3.1 to the Current Report on Form 8-K filed December 31, 2013).</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3"/>
              </w:rPr>
              <w:t>Limited Liability Company Agreement of PAA GP LLC dated December 28, 2007 (incorporated by reference to Exhibit 3.3 to PAA’s</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Current Report on Form 8-K filed January 4, 2008).</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4.1</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4"/>
              </w:rPr>
              <w:t>Indenture dated September 25, 2002 among Plains All American Pipeline, L.P., PAA Finance Corp. and Wachovia Bank, National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6"/>
              </w:rPr>
              <w:t>Association, as trustee (incorporated by reference to Exhibit 4.1 to PAA’s Quarterly Report on Form 10-Q for the quarter ended</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September 30, 2002).</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4.2</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5"/>
              </w:rPr>
              <w:t>Fourth Supplemental Indenture (Series A and Series B 5.875% Senior Notes due 2016) dated August 12, 2004 among Plains All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2"/>
              </w:rPr>
              <w:t>American Pipeline, L.P., PAA Finance Corp., the Subsidiary Guarantors named therein and Wachovia Bank, National Association, as</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trustee (incorporated by reference to Exhibit 4.5 to PAA’s Registration Statement on Form S-4, File No. 333-121168).</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4.3</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2"/>
              </w:rPr>
              <w:t>Fifth Supplemental Indenture (Series A and Series B 5.25% Senior Notes due 2015) dated May 27, 2005 among Plains All American</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4"/>
              </w:rPr>
              <w:t>Pipeline, L.P., PAA Finance Corp., the Subsidiary Guarantors named therein and Wachovia Bank, National Association, as trustee</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(incorporated by reference to Exhibit 4.1 to PAA’s Current Report on Form 8-K filed May 31, 2005).</w:t>
            </w:r>
          </w:p>
        </w:tc>
      </w:tr>
      <w:tr>
        <w:trPr>
          <w:trHeight w:val="432"/>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40" w:type="dxa"/>
            <w:vAlign w:val="bottom"/>
          </w:tcPr>
          <w:p>
            <w:pPr>
              <w:ind w:left="4100"/>
              <w:spacing w:after="0"/>
              <w:rPr>
                <w:sz w:val="20"/>
                <w:szCs w:val="20"/>
                <w:color w:val="auto"/>
              </w:rPr>
            </w:pPr>
            <w:r>
              <w:rPr>
                <w:rFonts w:ascii="Arial" w:cs="Arial" w:eastAsia="Arial" w:hAnsi="Arial"/>
                <w:sz w:val="18"/>
                <w:szCs w:val="18"/>
                <w:color w:val="auto"/>
              </w:rPr>
              <w:t>51</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940" w:type="dxa"/>
            <w:vAlign w:val="bottom"/>
            <w:tcBorders>
              <w:bottom w:val="single" w:sz="8" w:color="010101"/>
            </w:tcBorders>
          </w:tcPr>
          <w:p>
            <w:pPr>
              <w:spacing w:after="0"/>
              <w:rPr>
                <w:sz w:val="11"/>
                <w:szCs w:val="11"/>
                <w:color w:val="auto"/>
              </w:rPr>
            </w:pPr>
          </w:p>
        </w:tc>
      </w:tr>
      <w:tr>
        <w:trPr>
          <w:trHeight w:val="523"/>
        </w:trPr>
        <w:tc>
          <w:tcPr>
            <w:tcW w:w="15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940" w:type="dxa"/>
            <w:vAlign w:val="bottom"/>
          </w:tcPr>
          <w:p>
            <w:pPr>
              <w:spacing w:after="0"/>
              <w:rPr>
                <w:sz w:val="24"/>
                <w:szCs w:val="24"/>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r>
      <w:tr>
        <w:trPr>
          <w:trHeight w:val="438"/>
        </w:trPr>
        <w:tc>
          <w:tcPr>
            <w:tcW w:w="760" w:type="dxa"/>
            <w:vAlign w:val="bottom"/>
          </w:tcPr>
          <w:p>
            <w:pPr>
              <w:spacing w:after="0"/>
              <w:rPr>
                <w:sz w:val="20"/>
                <w:szCs w:val="20"/>
                <w:color w:val="auto"/>
              </w:rPr>
            </w:pPr>
            <w:r>
              <w:rPr>
                <w:rFonts w:ascii="Arial" w:cs="Arial" w:eastAsia="Arial" w:hAnsi="Arial"/>
                <w:sz w:val="18"/>
                <w:szCs w:val="18"/>
                <w:color w:val="auto"/>
              </w:rPr>
              <w:t>4.4</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2"/>
              </w:rPr>
              <w:t>Sixth Supplemental Indenture (Series A and Series B 6.70% Senior Notes due 2036) dated May 12, 2006 among Plains All American</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4"/>
              </w:rPr>
              <w:t>Pipeline, L.P., PAA Finance Corp., the Subsidiary Guarantors named therein and Wachovia Bank, National Association, as trustee</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(incorporated by reference to Exhibit 4.1 to PAA’s Current Report on Form 8-K filed May 12, 2006).</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4.5</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5"/>
              </w:rPr>
              <w:t>Ninth Supplemental Indenture (Series A and Series B 6.125% Senior Notes due 2017) dated October 30, 2006 among Plains All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1"/>
              </w:rPr>
              <w:t>American Pipeline, L.P., PAA Finance Corp., the Subsidiary Guarantors named therein and U.S. Bank National Association, as trustee</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(incorporated by reference to Exhibit 4.1 to PAA’s Current Report on Form 8-K filed October 30, 2006).</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4.6</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5"/>
              </w:rPr>
              <w:t>Tenth Supplemental Indenture (Series A and Series B 6.650% Senior Notes due 2037) dated October 30, 2006 among Plains All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1"/>
              </w:rPr>
              <w:t>American Pipeline, L.P., PAA Finance Corp., the Subsidiary Guarantors named therein and U.S. Bank National Association, as trustee</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(incorporated by reference to Exhibit 4.2 to PAA’s Current Report on Form 8-K filed October 30, 2006).</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4.7</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6"/>
              </w:rPr>
              <w:t>Thirteenth Supplemental Indenture (Series A and Series B 6.5% Senior Notes due 2018) dated April 23, 2008 among Plains All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1"/>
              </w:rPr>
              <w:t>American Pipeline, L.P., PAA Finance Corp., the Subsidiary Guarantors named therein and U.S. Bank National Association, as trustee</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(incorporated by reference to Exhibit 4.1 to PAA’s Current Report on Form 8-K filed April 23, 2008).</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4.8</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1"/>
              </w:rPr>
              <w:t>Fifteenth Supplemental Indenture (8.75% Senior Notes due 2019) dated April 20, 2009 among Plains All American Pipeline, L.P., PAA</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1"/>
              </w:rPr>
              <w:t>Finance Corp., the Subsidiary Guarantors named therein and U.S. Bank National Association, as trustee (incorporated by reference to</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Exhibit 4.1 to PAA’s Current Report on Form 8-K filed April 20, 2009).</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4.9</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2"/>
              </w:rPr>
              <w:t>Seventeenth Supplemental Indenture (5.75% Senior Notes due 2020) dated September 4, 2009 among Plains All American Pipeline,</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3"/>
              </w:rPr>
              <w:t>L.P., PAA Finance Corp., the Subsidiary Guarantors named therein and U.S. Bank National Association, as trustee (incorporated by</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reference to Exhibit 4.1 to PAA’s Current Report on Form 8-K filed September 4, 2009).</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4.10</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4"/>
              </w:rPr>
              <w:t>Eighteenth Supplemental Indenture (3.95% Senior Notes due 2015) dated July 14, 2010 among Plains All American Pipeline, L.P.,</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7"/>
              </w:rPr>
              <w:t>PAA Finance Corp., the Subsidiary Guarantors named therein and U.S. Bank National Association, as trustee (incorporated by</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reference to Exhibit 4.1 to PAA’s Current Report on Form 8-K filed July 13, 2010).</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4.11</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1"/>
              </w:rPr>
              <w:t>Nineteenth Supplemental Indenture (5.00% Senior Notes due 2021) dated January 14, 2011 among Plains All American Pipeline, L.P.,</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7"/>
              </w:rPr>
              <w:t>PAA Finance Corp., the Subsidiary Guarantors named therein and U.S. Bank National Association, as trustee (incorporated by</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reference to Exhibit 4.1 to PAA’s Current Report on Form 8-K filed January 11, 2011).</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4.12</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3"/>
              </w:rPr>
              <w:t>Twentieth Supplemental Indenture (3.65% Senior Notes due 2022) dated March 22, 2012 among Plains All American Pipeline, L.P.,</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3"/>
              </w:rPr>
              <w:t>PAA Finance Corp and U.S. Bank National Association, as trustee (incorporated by reference to Exhibit 4.1 to PAA’s Current Report</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on Form 8-K filed March 26, 2012).</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4.13</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1"/>
              </w:rPr>
              <w:t>Twenty-First Supplemental Indenture (5.15% Senior Notes due 2042) dated March 22, 2012 among Plains All American Pipeline, L.P.,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-5601335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-5601335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3"/>
              </w:rPr>
              <w:t>PAA Finance Corp and U.S. Bank National Association, as trustee (incorporated by reference to Exhibit 4.3 to PAA’s Current Report</w:t>
            </w: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on Form 8-K filed March 26, 2012).</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4.14</w:t>
            </w:r>
          </w:p>
        </w:tc>
        <w:tc>
          <w:tcPr>
            <w:tcW w:w="660" w:type="dxa"/>
            <w:vAlign w:val="bottom"/>
          </w:tcPr>
          <w:p>
            <w:pPr>
              <w:spacing w:after="0"/>
              <w:rPr>
                <w:sz w:val="24"/>
                <w:szCs w:val="24"/>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0"/>
              </w:rPr>
              <w:t>Twenty-Second Supplemental Indenture (2.85% Senior Notes due 2023) dated December 10, 2012, by and among Plains All American</w:t>
            </w: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2"/>
              </w:rPr>
              <w:t>Pipeline, L.P., PAA Finance Corp., and U.S. Bank National Association, as trustee (incorporated by reference to Exhibit 4.1 to PAA’s</w:t>
            </w: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Current Report on Form 8-K filed December 12, 2012).</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4.15</w:t>
            </w:r>
          </w:p>
        </w:tc>
        <w:tc>
          <w:tcPr>
            <w:tcW w:w="660" w:type="dxa"/>
            <w:vAlign w:val="bottom"/>
          </w:tcPr>
          <w:p>
            <w:pPr>
              <w:spacing w:after="0"/>
              <w:rPr>
                <w:sz w:val="24"/>
                <w:szCs w:val="24"/>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2"/>
              </w:rPr>
              <w:t>Twenty-Third Supplemental Indenture (4.30% Senior Notes due 2043) dated December 10, 2012, by and among Plains All American</w:t>
            </w: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2"/>
              </w:rPr>
              <w:t>Pipeline, L.P., PAA Finance Corp., and U.S. Bank National Association, as trustee (incorporated by reference to Exhibit 4.3 to PAA’s</w:t>
            </w: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Current Report on Form 8-K filed December 12, 2012).</w:t>
            </w:r>
          </w:p>
        </w:tc>
      </w:tr>
      <w:tr>
        <w:trPr>
          <w:trHeight w:val="432"/>
        </w:trPr>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40" w:type="dxa"/>
            <w:vAlign w:val="bottom"/>
          </w:tcPr>
          <w:p>
            <w:pPr>
              <w:ind w:left="4100"/>
              <w:spacing w:after="0"/>
              <w:rPr>
                <w:sz w:val="20"/>
                <w:szCs w:val="20"/>
                <w:color w:val="auto"/>
              </w:rPr>
            </w:pPr>
            <w:r>
              <w:rPr>
                <w:rFonts w:ascii="Arial" w:cs="Arial" w:eastAsia="Arial" w:hAnsi="Arial"/>
                <w:sz w:val="18"/>
                <w:szCs w:val="18"/>
                <w:color w:val="auto"/>
              </w:rPr>
              <w:t>52</w:t>
            </w:r>
          </w:p>
        </w:tc>
      </w:tr>
      <w:tr>
        <w:trPr>
          <w:trHeight w:val="132"/>
        </w:trPr>
        <w:tc>
          <w:tcPr>
            <w:tcW w:w="1280" w:type="dxa"/>
            <w:vAlign w:val="bottom"/>
            <w:tcBorders>
              <w:bottom w:val="single" w:sz="8" w:color="010101"/>
            </w:tcBorders>
            <w:gridSpan w:val="3"/>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940" w:type="dxa"/>
            <w:vAlign w:val="bottom"/>
            <w:tcBorders>
              <w:bottom w:val="single" w:sz="8" w:color="010101"/>
            </w:tcBorders>
          </w:tcPr>
          <w:p>
            <w:pPr>
              <w:spacing w:after="0"/>
              <w:rPr>
                <w:sz w:val="11"/>
                <w:szCs w:val="11"/>
                <w:color w:val="auto"/>
              </w:rPr>
            </w:pPr>
          </w:p>
        </w:tc>
      </w:tr>
      <w:tr>
        <w:trPr>
          <w:trHeight w:val="523"/>
        </w:trPr>
        <w:tc>
          <w:tcPr>
            <w:tcW w:w="152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940" w:type="dxa"/>
            <w:vAlign w:val="bottom"/>
          </w:tcPr>
          <w:p>
            <w:pPr>
              <w:spacing w:after="0"/>
              <w:rPr>
                <w:sz w:val="24"/>
                <w:szCs w:val="24"/>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r>
      <w:tr>
        <w:trPr>
          <w:trHeight w:val="438"/>
        </w:trPr>
        <w:tc>
          <w:tcPr>
            <w:tcW w:w="340" w:type="dxa"/>
            <w:vAlign w:val="bottom"/>
          </w:tcPr>
          <w:p>
            <w:pPr>
              <w:spacing w:after="0"/>
              <w:rPr>
                <w:sz w:val="20"/>
                <w:szCs w:val="20"/>
                <w:color w:val="auto"/>
              </w:rPr>
            </w:pPr>
            <w:r>
              <w:rPr>
                <w:rFonts w:ascii="Arial" w:cs="Arial" w:eastAsia="Arial" w:hAnsi="Arial"/>
                <w:sz w:val="18"/>
                <w:szCs w:val="18"/>
                <w:color w:val="auto"/>
                <w:w w:val="91"/>
              </w:rPr>
              <w:t>4.16</w:t>
            </w:r>
          </w:p>
        </w:tc>
        <w:tc>
          <w:tcPr>
            <w:tcW w:w="660" w:type="dxa"/>
            <w:vAlign w:val="bottom"/>
          </w:tcPr>
          <w:p>
            <w:pPr>
              <w:spacing w:after="0"/>
              <w:rPr>
                <w:sz w:val="24"/>
                <w:szCs w:val="24"/>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4"/>
              </w:rPr>
              <w:t>Twenty-Fourth Supplemental Indenture (3.85% Senior Notes due 2023) dated August 15, 2013, by and among Plains All American</w:t>
            </w: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2"/>
              </w:rPr>
              <w:t>Pipeline, L.P., PAA Finance Corp., and U.S. Bank National Association, as trustee (incorporated by reference to Exhibit 4.1 to PAA’s</w:t>
            </w: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Current Report on Form 8-K filed August 15, 2013).</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4.17</w:t>
            </w:r>
          </w:p>
        </w:tc>
        <w:tc>
          <w:tcPr>
            <w:tcW w:w="660" w:type="dxa"/>
            <w:vAlign w:val="bottom"/>
          </w:tcPr>
          <w:p>
            <w:pPr>
              <w:spacing w:after="0"/>
              <w:rPr>
                <w:sz w:val="24"/>
                <w:szCs w:val="24"/>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7"/>
              </w:rPr>
              <w:t>Twenty-Fifth Supplemental Indenture (4.70% Senior Notes due 2044) dated April 23, 2014, by and among Plains All American</w:t>
            </w: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5"/>
              </w:rPr>
              <w:t>Pipeline, L.P., PAA Finance Corp., and U.S. Bank National Association, as trustee (incorporated by reference to Exhibit 4.1 to the</w:t>
            </w: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Current Report on Form 8-K filed April 29, 2014).</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4.18</w:t>
            </w:r>
          </w:p>
        </w:tc>
        <w:tc>
          <w:tcPr>
            <w:tcW w:w="660" w:type="dxa"/>
            <w:vAlign w:val="bottom"/>
          </w:tcPr>
          <w:p>
            <w:pPr>
              <w:spacing w:after="0"/>
              <w:rPr>
                <w:sz w:val="24"/>
                <w:szCs w:val="24"/>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3"/>
              </w:rPr>
              <w:t>Twenty-Sixth Supplemental Indenture (3.60% Senior Notes due 2024) dated September 9, 2014, by and among Plains All American</w:t>
            </w: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5"/>
              </w:rPr>
              <w:t>Pipeline, L.P., PAA Finance Corp., and U.S. Bank National Association, as trustee (incorporated by reference to Exhibit 4.1 to the</w:t>
            </w: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Current Report on Form 8-K filed September 11, 2014).</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10.1</w:t>
            </w:r>
          </w:p>
        </w:tc>
        <w:tc>
          <w:tcPr>
            <w:tcW w:w="660" w:type="dxa"/>
            <w:vAlign w:val="bottom"/>
          </w:tcPr>
          <w:p>
            <w:pPr>
              <w:spacing w:after="0"/>
              <w:rPr>
                <w:sz w:val="24"/>
                <w:szCs w:val="24"/>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4"/>
              </w:rPr>
              <w:t>Form of LTIP Grant Letter (PAGP Audit Committee Members) (incorporated by reference to Exhibit 10.1 to the Quarterly Report on</w:t>
            </w: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Form 10-Q for the quarter ended March 31, 2014).</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12.1</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31.1</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31.2</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32.1</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32.2</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18 U.S.C. 1350</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-5464175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-5464175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Nine Months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center"/>
              <w:ind w:right="95"/>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EARNINGS </w:t>
            </w:r>
            <w:r>
              <w:rPr>
                <w:rFonts w:ascii="Arial" w:cs="Arial" w:eastAsia="Arial" w:hAnsi="Arial"/>
                <w:sz w:val="22"/>
                <w:szCs w:val="22"/>
                <w:b w:val="1"/>
                <w:bCs w:val="1"/>
                <w:color w:val="auto"/>
                <w:vertAlign w:val="superscript"/>
              </w:rPr>
              <w:t>(1)</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ind w:left="160"/>
              <w:spacing w:after="0" w:line="201" w:lineRule="exact"/>
              <w:rPr>
                <w:sz w:val="20"/>
                <w:szCs w:val="20"/>
                <w:color w:val="auto"/>
              </w:rPr>
            </w:pPr>
            <w:r>
              <w:rPr>
                <w:rFonts w:ascii="Arial" w:cs="Arial" w:eastAsia="Arial" w:hAnsi="Arial"/>
                <w:sz w:val="18"/>
                <w:szCs w:val="18"/>
                <w:color w:val="auto"/>
              </w:rPr>
              <w:t>Pre-tax income from continuing operations before noncontrolling</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interest and income from equity investees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1,416</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1,135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1,019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Fixed charges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add: Distributed income of equity investees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Amortization of capitalized interest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less: Capitalized interest</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Earnings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3"/>
                <w:szCs w:val="23"/>
                <w:b w:val="1"/>
                <w:bCs w:val="1"/>
                <w:color w:val="auto"/>
                <w:vertAlign w:val="superscript"/>
              </w:rPr>
              <w:t>(1)</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Interest expensed and capitalized </w:t>
            </w:r>
            <w:r>
              <w:rPr>
                <w:rFonts w:ascii="Arial" w:cs="Arial" w:eastAsia="Arial" w:hAnsi="Arial"/>
                <w:sz w:val="23"/>
                <w:szCs w:val="23"/>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343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291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expense</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Portion of rent expense related to interest (33.33%)</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3"/>
                <w:szCs w:val="23"/>
                <w:b w:val="1"/>
                <w:bCs w:val="1"/>
                <w:color w:val="auto"/>
                <w:vertAlign w:val="superscript"/>
              </w:rPr>
              <w:t>(3)</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4.07x</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4.34x</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3.95x</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4.05x</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2.49x</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60" w:hanging="11"/>
        <w:spacing w:after="0" w:line="279" w:lineRule="auto"/>
        <w:rPr>
          <w:sz w:val="20"/>
          <w:szCs w:val="20"/>
          <w:color w:val="auto"/>
        </w:rPr>
      </w:pPr>
      <w:r>
        <w:rPr>
          <w:rFonts w:ascii="Arial" w:cs="Arial" w:eastAsia="Arial" w:hAnsi="Arial"/>
          <w:sz w:val="17"/>
          <w:szCs w:val="17"/>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171" w:lineRule="exact"/>
        <w:rPr>
          <w:sz w:val="20"/>
          <w:szCs w:val="20"/>
          <w:color w:val="auto"/>
        </w:rPr>
      </w:pPr>
    </w:p>
    <w:p>
      <w:pPr>
        <w:ind w:left="20" w:right="60" w:hanging="11"/>
        <w:spacing w:after="0" w:line="342" w:lineRule="auto"/>
        <w:rPr>
          <w:sz w:val="20"/>
          <w:szCs w:val="20"/>
          <w:color w:val="auto"/>
        </w:rPr>
      </w:pPr>
      <w:r>
        <w:rPr>
          <w:rFonts w:ascii="Arial" w:cs="Arial" w:eastAsia="Arial" w:hAnsi="Arial"/>
          <w:sz w:val="16"/>
          <w:szCs w:val="16"/>
          <w:color w:val="auto"/>
        </w:rPr>
        <w:t>Includes interest costs attributable to borrowings for hedged inventory purchases of $11 million for the nine months ended September 30, 2014 and $30 million, $12 million, $20 million, $17 million and $11 million for the years ended December 31, 2013, 2012, 2011, 2010 and 2009,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218440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140" w:space="500"/>
            <w:col w:w="10780"/>
          </w:cols>
          <w:pgMar w:left="240" w:top="121" w:right="23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77" w:lineRule="auto"/>
        <w:tabs>
          <w:tab w:leader="none" w:pos="87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00" w:firstLine="656"/>
        <w:spacing w:after="0" w:line="264" w:lineRule="auto"/>
        <w:tabs>
          <w:tab w:leader="none" w:pos="1294"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ind w:right="400" w:firstLine="656"/>
        <w:spacing w:after="0" w:line="308" w:lineRule="auto"/>
        <w:tabs>
          <w:tab w:leader="none" w:pos="1307" w:val="left"/>
        </w:tabs>
        <w:numPr>
          <w:ilvl w:val="0"/>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380" w:firstLine="656"/>
        <w:spacing w:after="0" w:line="264" w:lineRule="auto"/>
        <w:tabs>
          <w:tab w:leader="none" w:pos="13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640" w:firstLine="656"/>
        <w:spacing w:after="0" w:line="308" w:lineRule="auto"/>
        <w:tabs>
          <w:tab w:leader="none" w:pos="1294"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20" w:firstLine="656"/>
        <w:spacing w:after="0" w:line="277" w:lineRule="auto"/>
        <w:tabs>
          <w:tab w:leader="none" w:pos="13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77" w:lineRule="auto"/>
        <w:tabs>
          <w:tab w:leader="none" w:pos="87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00" w:firstLine="656"/>
        <w:spacing w:after="0" w:line="264" w:lineRule="auto"/>
        <w:tabs>
          <w:tab w:leader="none" w:pos="12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400" w:firstLine="708"/>
        <w:spacing w:after="0" w:line="308" w:lineRule="auto"/>
        <w:tabs>
          <w:tab w:leader="none" w:pos="1305"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sz w:val="20"/>
          <w:szCs w:val="20"/>
          <w:color w:val="auto"/>
        </w:rPr>
      </w:pPr>
    </w:p>
    <w:p>
      <w:pPr>
        <w:jc w:val="both"/>
        <w:ind w:right="380" w:firstLine="656"/>
        <w:spacing w:after="0" w:line="264" w:lineRule="auto"/>
        <w:tabs>
          <w:tab w:leader="none" w:pos="13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640" w:firstLine="656"/>
        <w:spacing w:after="0" w:line="308" w:lineRule="auto"/>
        <w:tabs>
          <w:tab w:leader="none" w:pos="1294"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20" w:firstLine="656"/>
        <w:spacing w:after="0" w:line="277" w:lineRule="auto"/>
        <w:tabs>
          <w:tab w:leader="none" w:pos="13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GP Holdings, L.P. (the “Company”), hereby certify that:</w:t>
      </w:r>
    </w:p>
    <w:p>
      <w:pPr>
        <w:spacing w:after="0" w:line="225" w:lineRule="exact"/>
        <w:rPr>
          <w:sz w:val="20"/>
          <w:szCs w:val="20"/>
          <w:color w:val="auto"/>
        </w:rPr>
      </w:pPr>
    </w:p>
    <w:p>
      <w:pPr>
        <w:jc w:val="both"/>
        <w:ind w:right="160" w:firstLine="656"/>
        <w:spacing w:after="0" w:line="264" w:lineRule="auto"/>
        <w:tabs>
          <w:tab w:leader="none" w:pos="131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2014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40" w:hanging="684"/>
        <w:spacing w:after="0"/>
        <w:tabs>
          <w:tab w:leader="none" w:pos="1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jc w:val="both"/>
        <w:ind w:right="160" w:firstLine="656"/>
        <w:spacing w:after="0" w:line="264" w:lineRule="auto"/>
        <w:tabs>
          <w:tab w:leader="none" w:pos="131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2014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40" w:hanging="684"/>
        <w:spacing w:after="0"/>
        <w:tabs>
          <w:tab w:leader="none" w:pos="1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x"/>
      <w:numFmt w:val="bullet"/>
      <w:start w:val="1"/>
    </w:lvl>
  </w:abstractNum>
  <w:abstractNum w:abstractNumId="1">
    <w:nsid w:val="B03E0C6"/>
    <w:multiLevelType w:val="hybridMultilevel"/>
    <w:lvl w:ilvl="0">
      <w:lvlJc w:val="left"/>
      <w:lvlText w:val="o"/>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3"/>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lowerRoman"/>
      <w:start w:val="2"/>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decimal"/>
      <w:start w:val="3"/>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1)"/>
      <w:numFmt w:val="lowerRoman"/>
      <w:start w:val="2"/>
    </w:lvl>
  </w:abstractNum>
  <w:abstractNum w:abstractNumId="21">
    <w:nsid w:val="5072367"/>
    <w:multiLevelType w:val="hybridMultilevel"/>
    <w:lvl w:ilvl="0">
      <w:lvlJc w:val="left"/>
      <w:lvlText w:val="(%1)"/>
      <w:numFmt w:val="decimal"/>
      <w:start w:val="6"/>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lowerRoman"/>
      <w:start w:val="2"/>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3"/>
    </w:lvl>
  </w:abstractNum>
  <w:abstractNum w:abstractNumId="41">
    <w:nsid w:val="4B588F54"/>
    <w:multiLevelType w:val="hybridMultilevel"/>
    <w:lvl w:ilvl="0">
      <w:lvlJc w:val="left"/>
      <w:lvlText w:val="%1."/>
      <w:numFmt w:val="decimal"/>
      <w:start w:val="5"/>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lowerLetter"/>
      <w:start w:val="1"/>
    </w:lvl>
    <w:lvl w:ilvl="1">
      <w:lvlJc w:val="left"/>
      <w:lvlText w:val="(%2)"/>
      <w:numFmt w:val="lowerLetter"/>
      <w:start w:val="3"/>
    </w:lvl>
  </w:abstractNum>
  <w:abstractNum w:abstractNumId="45">
    <w:nsid w:val="7644A45C"/>
    <w:multiLevelType w:val="hybridMultilevel"/>
    <w:lvl w:ilvl="0">
      <w:lvlJc w:val="left"/>
      <w:lvlText w:val="(%1)"/>
      <w:numFmt w:val="lowerLetter"/>
      <w:start w:val="4"/>
    </w:lvl>
  </w:abstractNum>
  <w:abstractNum w:abstractNumId="46">
    <w:nsid w:val="32FFF902"/>
    <w:multiLevelType w:val="hybridMultilevel"/>
    <w:lvl w:ilvl="0">
      <w:lvlJc w:val="left"/>
      <w:lvlText w:val="%1."/>
      <w:numFmt w:val="decimal"/>
      <w:start w:val="5"/>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lowerRoman"/>
      <w:start w:val="1"/>
    </w:lvl>
  </w:abstractNum>
  <w:abstractNum w:abstractNumId="49">
    <w:nsid w:val="749ABB4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2020-02-21T02:19:45Z</dcterms:created>
  <dcterms:modified xsi:type="dcterms:W3CDTF">2020-02-21T02:19:45Z</dcterms:modified>
</cp:coreProperties>
</file>