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PLAINS GP HOLDINGS,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72651A207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72651A207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Massachusetts Financial Services Company</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9,850,039.00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9,870,594.00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9,870,594.00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PLAINS GP HOLDINGS,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Clay Street, Suite 1600, Houston, TX 77002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Massachusetts Financial Services Company</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111 Huntington Avenue, Boston, MA 02199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72651A207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ind w:left="920" w:right="70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9,870,594 shares of Common Stock consisting of shares beneficially owned by MFS and/or certain other non-reporting entities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9,850,039</w:t>
      </w:r>
    </w:p>
    <w:p>
      <w:pPr>
        <w:spacing w:after="0" w:line="287" w:lineRule="exact"/>
        <w:rPr>
          <w:sz w:val="20"/>
          <w:szCs w:val="20"/>
          <w:color w:val="auto"/>
        </w:rPr>
      </w:pPr>
    </w:p>
    <w:p>
      <w:pPr>
        <w:ind w:left="1240" w:hanging="314"/>
        <w:spacing w:after="0"/>
        <w:tabs>
          <w:tab w:leader="none" w:pos="12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9,870,594</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11" w:right="399" w:bottom="0" w:gutter="0" w:footer="0" w:header="0"/>
          <w:type w:val="continuous"/>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Massachusetts Financial Services Company</w:t>
      </w:r>
    </w:p>
    <w:p>
      <w:pPr>
        <w:spacing w:after="0" w:line="152"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Lisa Neaves</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Compliance Officer</w:t>
      </w:r>
    </w:p>
    <w:p>
      <w:pPr>
        <w:spacing w:after="0" w:line="44"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05/14/2025</w:t>
      </w:r>
    </w:p>
    <w:p>
      <w:pPr>
        <w:sectPr>
          <w:pgSz w:w="11900" w:h="16838" w:orient="portrait"/>
          <w:cols w:equalWidth="0" w:num="1">
            <w:col w:w="11140"/>
          </w:cols>
          <w:pgMar w:left="360" w:top="111" w:right="399" w:bottom="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2025-05-15T10:08:36Z</dcterms:created>
  <dcterms:modified xsi:type="dcterms:W3CDTF">2025-05-15T10:08:36Z</dcterms:modified>
</cp:coreProperties>
</file>