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4020" w:right="2300" w:hanging="4012"/>
        <w:spacing w:after="0" w:line="259" w:lineRule="auto"/>
        <w:tabs>
          <w:tab w:leader="none" w:pos="3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2017</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1-14569</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5"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488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76-0582150</w:t>
            </w:r>
          </w:p>
        </w:tc>
      </w:tr>
      <w:tr>
        <w:trPr>
          <w:trHeight w:val="270"/>
        </w:trPr>
        <w:tc>
          <w:tcPr>
            <w:tcW w:w="4880" w:type="dxa"/>
            <w:vAlign w:val="bottom"/>
          </w:tcPr>
          <w:p>
            <w:pPr>
              <w:jc w:val="center"/>
              <w:ind w:right="13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5"/>
        </w:trPr>
        <w:tc>
          <w:tcPr>
            <w:tcW w:w="4880" w:type="dxa"/>
            <w:vAlign w:val="bottom"/>
          </w:tcPr>
          <w:p>
            <w:pPr>
              <w:jc w:val="center"/>
              <w:ind w:right="1348"/>
              <w:spacing w:after="0"/>
              <w:rPr>
                <w:sz w:val="20"/>
                <w:szCs w:val="20"/>
                <w:color w:val="auto"/>
              </w:rPr>
            </w:pPr>
            <w:r>
              <w:rPr>
                <w:rFonts w:ascii="Times New Roman" w:cs="Times New Roman" w:eastAsia="Times New Roman" w:hAnsi="Times New Roman"/>
                <w:sz w:val="14"/>
                <w:szCs w:val="14"/>
                <w:b w:val="1"/>
                <w:bCs w:val="1"/>
                <w:color w:val="auto"/>
              </w:rPr>
              <w:t>333 Clay Street, Suite 1600, Houston, Texas</w:t>
            </w:r>
          </w:p>
        </w:tc>
        <w:tc>
          <w:tcPr>
            <w:tcW w:w="352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77002</w:t>
            </w:r>
          </w:p>
        </w:tc>
      </w:tr>
      <w:tr>
        <w:trPr>
          <w:trHeight w:val="351"/>
        </w:trPr>
        <w:tc>
          <w:tcPr>
            <w:tcW w:w="4880" w:type="dxa"/>
            <w:vAlign w:val="bottom"/>
          </w:tcPr>
          <w:p>
            <w:pPr>
              <w:jc w:val="center"/>
              <w:ind w:right="13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55" w:lineRule="exact"/>
        <w:rPr>
          <w:sz w:val="24"/>
          <w:szCs w:val="24"/>
          <w:color w:val="auto"/>
        </w:rPr>
      </w:pPr>
    </w:p>
    <w:tbl>
      <w:tblPr>
        <w:tblLayout w:type="fixed"/>
        <w:tblInd w:w="30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646-4100</w:t>
            </w:r>
          </w:p>
        </w:tc>
      </w:tr>
      <w:tr>
        <w:trPr>
          <w:trHeight w:val="270"/>
        </w:trPr>
        <w:tc>
          <w:tcPr>
            <w:tcW w:w="3280" w:type="dxa"/>
            <w:vAlign w:val="bottom"/>
          </w:tcPr>
          <w:p>
            <w:pPr>
              <w:spacing w:after="0"/>
              <w:rPr>
                <w:sz w:val="23"/>
                <w:szCs w:val="23"/>
                <w:color w:val="auto"/>
              </w:rPr>
            </w:pPr>
          </w:p>
        </w:tc>
        <w:tc>
          <w:tcPr>
            <w:tcW w:w="7540" w:type="dxa"/>
            <w:vAlign w:val="bottom"/>
            <w:gridSpan w:val="3"/>
          </w:tcPr>
          <w:p>
            <w:pPr>
              <w:jc w:val="center"/>
              <w:ind w:right="2873"/>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422"/>
        </w:trPr>
        <w:tc>
          <w:tcPr>
            <w:tcW w:w="3280" w:type="dxa"/>
            <w:vAlign w:val="bottom"/>
            <w:tcBorders>
              <w:bottom w:val="single" w:sz="8" w:color="auto"/>
            </w:tcBorders>
          </w:tcPr>
          <w:p>
            <w:pPr>
              <w:jc w:val="center"/>
              <w:ind w:left="1853"/>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9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93"/>
        </w:trPr>
        <w:tc>
          <w:tcPr>
            <w:tcW w:w="3280" w:type="dxa"/>
            <w:vAlign w:val="bottom"/>
          </w:tcPr>
          <w:p>
            <w:pPr>
              <w:jc w:val="center"/>
              <w:ind w:left="1853"/>
              <w:spacing w:after="0"/>
              <w:rPr>
                <w:sz w:val="20"/>
                <w:szCs w:val="20"/>
                <w:color w:val="auto"/>
              </w:rPr>
            </w:pPr>
            <w:r>
              <w:rPr>
                <w:rFonts w:ascii="Times New Roman" w:cs="Times New Roman" w:eastAsia="Times New Roman" w:hAnsi="Times New Roman"/>
                <w:sz w:val="14"/>
                <w:szCs w:val="14"/>
                <w:color w:val="auto"/>
              </w:rPr>
              <w:t>Common Units</w:t>
            </w: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11"/>
        </w:trPr>
        <w:tc>
          <w:tcPr>
            <w:tcW w:w="3280" w:type="dxa"/>
            <w:vAlign w:val="bottom"/>
          </w:tcPr>
          <w:p>
            <w:pPr>
              <w:spacing w:after="0"/>
              <w:rPr>
                <w:sz w:val="24"/>
                <w:szCs w:val="24"/>
                <w:color w:val="auto"/>
              </w:rPr>
            </w:pPr>
          </w:p>
        </w:tc>
        <w:tc>
          <w:tcPr>
            <w:tcW w:w="7540" w:type="dxa"/>
            <w:vAlign w:val="bottom"/>
            <w:gridSpan w:val="3"/>
          </w:tcPr>
          <w:p>
            <w:pPr>
              <w:jc w:val="center"/>
              <w:ind w:right="2873"/>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r>
    </w:tbl>
    <w:p>
      <w:pPr>
        <w:spacing w:after="0" w:line="106" w:lineRule="exact"/>
        <w:rPr>
          <w:sz w:val="24"/>
          <w:szCs w:val="24"/>
          <w:color w:val="auto"/>
        </w:rPr>
      </w:pPr>
    </w:p>
    <w:p>
      <w:pPr>
        <w:ind w:left="340" w:right="3300"/>
        <w:spacing w:after="0" w:line="342" w:lineRule="auto"/>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firstLine="32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 w:lineRule="exact"/>
        <w:rPr>
          <w:sz w:val="24"/>
          <w:szCs w:val="24"/>
          <w:color w:val="auto"/>
        </w:rPr>
      </w:pPr>
    </w:p>
    <w:p>
      <w:pPr>
        <w:ind w:right="320" w:firstLine="32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7" w:lineRule="exact"/>
        <w:rPr>
          <w:sz w:val="24"/>
          <w:szCs w:val="24"/>
          <w:color w:val="auto"/>
        </w:rPr>
      </w:pPr>
    </w:p>
    <w:p>
      <w:pPr>
        <w:ind w:right="60" w:firstLine="324"/>
        <w:spacing w:after="0" w:line="270" w:lineRule="auto"/>
        <w:rPr>
          <w:sz w:val="20"/>
          <w:szCs w:val="20"/>
          <w:color w:val="auto"/>
        </w:rPr>
      </w:pPr>
      <w:r>
        <w:rPr>
          <w:rFonts w:ascii="Times New Roman" w:cs="Times New Roman" w:eastAsia="Times New Roman" w:hAnsi="Times New Roman"/>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 w:lineRule="exact"/>
        <w:rPr>
          <w:sz w:val="24"/>
          <w:szCs w:val="24"/>
          <w:color w:val="auto"/>
        </w:rPr>
      </w:pPr>
    </w:p>
    <w:p>
      <w:pPr>
        <w:ind w:right="20" w:firstLine="32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5" w:lineRule="exact"/>
        <w:rPr>
          <w:sz w:val="24"/>
          <w:szCs w:val="24"/>
          <w:color w:val="auto"/>
        </w:rPr>
      </w:pPr>
    </w:p>
    <w:tbl>
      <w:tblPr>
        <w:tblLayout w:type="fixed"/>
        <w:tblInd w:w="1560" w:type="dxa"/>
        <w:tblCellMar>
          <w:top w:w="0" w:type="dxa"/>
          <w:left w:w="0" w:type="dxa"/>
          <w:bottom w:w="0" w:type="dxa"/>
          <w:right w:w="0" w:type="dxa"/>
        </w:tblCellMar>
      </w:tblPr>
      <w:tr>
        <w:trPr>
          <w:trHeight w:val="188"/>
        </w:trPr>
        <w:tc>
          <w:tcPr>
            <w:tcW w:w="440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Large accelerated filer x</w:t>
            </w:r>
          </w:p>
        </w:tc>
        <w:tc>
          <w:tcPr>
            <w:tcW w:w="3420" w:type="dxa"/>
            <w:vAlign w:val="bottom"/>
          </w:tcPr>
          <w:p>
            <w:pPr>
              <w:jc w:val="center"/>
              <w:ind w:left="1648"/>
              <w:spacing w:after="0"/>
              <w:rPr>
                <w:sz w:val="20"/>
                <w:szCs w:val="20"/>
                <w:color w:val="auto"/>
              </w:rPr>
            </w:pPr>
            <w:r>
              <w:rPr>
                <w:rFonts w:ascii="Times New Roman" w:cs="Times New Roman" w:eastAsia="Times New Roman" w:hAnsi="Times New Roman"/>
                <w:sz w:val="14"/>
                <w:szCs w:val="14"/>
                <w:color w:val="auto"/>
              </w:rPr>
              <w:t>Accelerated filer o</w:t>
            </w:r>
          </w:p>
        </w:tc>
      </w:tr>
      <w:tr>
        <w:trPr>
          <w:trHeight w:val="324"/>
        </w:trPr>
        <w:tc>
          <w:tcPr>
            <w:tcW w:w="440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Non-accelerated filer o</w:t>
            </w:r>
          </w:p>
        </w:tc>
        <w:tc>
          <w:tcPr>
            <w:tcW w:w="3420" w:type="dxa"/>
            <w:vAlign w:val="bottom"/>
          </w:tcPr>
          <w:p>
            <w:pPr>
              <w:jc w:val="center"/>
              <w:ind w:left="1648"/>
              <w:spacing w:after="0"/>
              <w:rPr>
                <w:sz w:val="20"/>
                <w:szCs w:val="20"/>
                <w:color w:val="auto"/>
              </w:rPr>
            </w:pPr>
            <w:r>
              <w:rPr>
                <w:rFonts w:ascii="Times New Roman" w:cs="Times New Roman" w:eastAsia="Times New Roman" w:hAnsi="Times New Roman"/>
                <w:sz w:val="14"/>
                <w:szCs w:val="14"/>
                <w:color w:val="auto"/>
              </w:rPr>
              <w:t>Smaller reporting company o</w:t>
            </w:r>
          </w:p>
        </w:tc>
      </w:tr>
      <w:tr>
        <w:trPr>
          <w:trHeight w:val="324"/>
        </w:trPr>
        <w:tc>
          <w:tcPr>
            <w:tcW w:w="4400" w:type="dxa"/>
            <w:vAlign w:val="bottom"/>
          </w:tcPr>
          <w:p>
            <w:pPr>
              <w:jc w:val="center"/>
              <w:ind w:right="1648"/>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3420" w:type="dxa"/>
            <w:vAlign w:val="bottom"/>
          </w:tcPr>
          <w:p>
            <w:pPr>
              <w:jc w:val="center"/>
              <w:ind w:left="1628"/>
              <w:spacing w:after="0"/>
              <w:rPr>
                <w:sz w:val="20"/>
                <w:szCs w:val="20"/>
                <w:color w:val="auto"/>
              </w:rPr>
            </w:pPr>
            <w:r>
              <w:rPr>
                <w:rFonts w:ascii="Times New Roman" w:cs="Times New Roman" w:eastAsia="Times New Roman" w:hAnsi="Times New Roman"/>
                <w:sz w:val="14"/>
                <w:szCs w:val="14"/>
                <w:color w:val="auto"/>
              </w:rPr>
              <w:t>Emerging growth company o</w:t>
            </w:r>
          </w:p>
        </w:tc>
      </w:tr>
    </w:tbl>
    <w:p>
      <w:pPr>
        <w:spacing w:after="0" w:line="119" w:lineRule="exact"/>
        <w:rPr>
          <w:sz w:val="24"/>
          <w:szCs w:val="24"/>
          <w:color w:val="auto"/>
        </w:rPr>
      </w:pPr>
    </w:p>
    <w:p>
      <w:pPr>
        <w:ind w:right="160" w:firstLine="324"/>
        <w:spacing w:after="0" w:line="270"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 Yes o No x</w:t>
      </w:r>
    </w:p>
    <w:p>
      <w:pPr>
        <w:spacing w:after="0" w:line="57" w:lineRule="exact"/>
        <w:rPr>
          <w:sz w:val="24"/>
          <w:szCs w:val="24"/>
          <w:color w:val="auto"/>
        </w:rPr>
      </w:pPr>
    </w:p>
    <w:p>
      <w:pPr>
        <w:jc w:val="both"/>
        <w:ind w:right="220" w:firstLine="324"/>
        <w:spacing w:after="0" w:line="257" w:lineRule="auto"/>
        <w:rPr>
          <w:sz w:val="20"/>
          <w:szCs w:val="20"/>
          <w:color w:val="auto"/>
        </w:rPr>
      </w:pPr>
      <w:r>
        <w:rPr>
          <w:rFonts w:ascii="Times New Roman" w:cs="Times New Roman" w:eastAsia="Times New Roman" w:hAnsi="Times New Roman"/>
          <w:sz w:val="15"/>
          <w:szCs w:val="15"/>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$11.3 billion on June 30, 2017, based on a closing price of $26.27 per Common Unit as reported on the New York Stock Exchange on such date. As of February 12, 2018, there were 725,206,904 Common Units outstanding</w:t>
      </w:r>
      <w:r>
        <w:rPr>
          <w:rFonts w:ascii="Times New Roman" w:cs="Times New Roman" w:eastAsia="Times New Roman" w:hAnsi="Times New Roman"/>
          <w:sz w:val="14"/>
          <w:szCs w:val="14"/>
          <w:color w:val="auto"/>
        </w:rPr>
        <w:t>.</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45" w:lineRule="exact"/>
        <w:rPr>
          <w:sz w:val="24"/>
          <w:szCs w:val="24"/>
          <w:color w:val="auto"/>
        </w:rPr>
      </w:pPr>
    </w:p>
    <w:p>
      <w:pPr>
        <w:jc w:val="center"/>
        <w:ind w:left="260" w:right="100"/>
        <w:spacing w:after="0" w:line="324" w:lineRule="auto"/>
        <w:rPr>
          <w:sz w:val="20"/>
          <w:szCs w:val="20"/>
          <w:color w:val="auto"/>
        </w:rPr>
      </w:pPr>
      <w:r>
        <w:rPr>
          <w:rFonts w:ascii="Times New Roman" w:cs="Times New Roman" w:eastAsia="Times New Roman" w:hAnsi="Times New Roman"/>
          <w:sz w:val="15"/>
          <w:szCs w:val="15"/>
          <w:color w:val="auto"/>
        </w:rPr>
        <w:t>Portions of the registrant’s definitive Proxy Statement to be filed pursuant to Regulation 14A pertaining to the 2018 Annual Meeting of Common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10-K—2017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2"/>
          </w:tcPr>
          <w:p>
            <w:pPr>
              <w:jc w:val="center"/>
              <w:spacing w:after="0" w:line="170" w:lineRule="exact"/>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PART I</w:t>
              </w:r>
            </w:hyperlink>
          </w:p>
        </w:tc>
        <w:tc>
          <w:tcPr>
            <w:tcW w:w="3920" w:type="dxa"/>
            <w:vAlign w:val="bottom"/>
            <w:gridSpan w:val="10"/>
          </w:tcPr>
          <w:p>
            <w:pPr>
              <w:spacing w:after="0"/>
              <w:rPr>
                <w:sz w:val="16"/>
                <w:szCs w:val="16"/>
                <w:color w:val="auto"/>
              </w:rPr>
            </w:pPr>
          </w:p>
        </w:tc>
        <w:tc>
          <w:tcPr>
            <w:tcW w:w="1480" w:type="dxa"/>
            <w:vAlign w:val="bottom"/>
          </w:tcPr>
          <w:p>
            <w:pPr>
              <w:jc w:val="right"/>
              <w:spacing w:after="0" w:line="170"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588"/>
        </w:trPr>
        <w:tc>
          <w:tcPr>
            <w:tcW w:w="1020" w:type="dxa"/>
            <w:vAlign w:val="bottom"/>
            <w:gridSpan w:val="5"/>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Items 1 and 2.</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gridSpan w:val="2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 and Properties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50"/>
        </w:trPr>
        <w:tc>
          <w:tcPr>
            <w:tcW w:w="640" w:type="dxa"/>
            <w:vAlign w:val="bottom"/>
            <w:tcBorders>
              <w:top w:val="single" w:sz="8" w:color="0000EE"/>
            </w:tcBorders>
            <w:gridSpan w:val="4"/>
          </w:tcPr>
          <w:p>
            <w:pPr>
              <w:spacing w:after="0"/>
              <w:rPr>
                <w:rFonts w:ascii="Times New Roman" w:cs="Times New Roman" w:eastAsia="Times New Roman" w:hAnsi="Times New Roman"/>
                <w:sz w:val="18"/>
                <w:szCs w:val="18"/>
                <w:color w:val="0000EE"/>
                <w:w w:val="93"/>
              </w:rPr>
            </w:pPr>
            <w:hyperlink w:anchor="page46">
              <w:r>
                <w:rPr>
                  <w:rFonts w:ascii="Times New Roman" w:cs="Times New Roman" w:eastAsia="Times New Roman" w:hAnsi="Times New Roman"/>
                  <w:sz w:val="18"/>
                  <w:szCs w:val="18"/>
                  <w:color w:val="0000EE"/>
                  <w:w w:val="93"/>
                </w:rPr>
                <w:t>Item 1A.</w:t>
              </w:r>
            </w:hyperlink>
          </w:p>
        </w:tc>
        <w:tc>
          <w:tcPr>
            <w:tcW w:w="38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Risk Factors</w:t>
              </w:r>
            </w:hyperlink>
          </w:p>
        </w:tc>
        <w:tc>
          <w:tcPr>
            <w:tcW w:w="6700" w:type="dxa"/>
            <w:vAlign w:val="bottom"/>
            <w:gridSpan w:val="22"/>
          </w:tcPr>
          <w:p>
            <w:pPr>
              <w:spacing w:after="0"/>
              <w:rPr>
                <w:sz w:val="21"/>
                <w:szCs w:val="21"/>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Times New Roman" w:cs="Times New Roman" w:eastAsia="Times New Roman" w:hAnsi="Times New Roman"/>
                <w:sz w:val="18"/>
                <w:szCs w:val="18"/>
                <w:color w:val="0000EE"/>
                <w:w w:val="95"/>
              </w:rPr>
            </w:pPr>
            <w:hyperlink w:anchor="page69">
              <w:r>
                <w:rPr>
                  <w:rFonts w:ascii="Times New Roman" w:cs="Times New Roman" w:eastAsia="Times New Roman" w:hAnsi="Times New Roman"/>
                  <w:sz w:val="18"/>
                  <w:szCs w:val="18"/>
                  <w:color w:val="0000EE"/>
                  <w:w w:val="95"/>
                </w:rPr>
                <w:t>Item 1B.</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gridSpan w:val="27"/>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Unresolved Staff Comments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69</w:t>
              </w:r>
            </w:hyperlink>
          </w:p>
        </w:tc>
      </w:tr>
      <w:tr>
        <w:trPr>
          <w:trHeight w:val="250"/>
        </w:trPr>
        <w:tc>
          <w:tcPr>
            <w:tcW w:w="6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3.</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Legal Proceedings</w:t>
              </w:r>
            </w:hyperlink>
          </w:p>
        </w:tc>
        <w:tc>
          <w:tcPr>
            <w:tcW w:w="6380" w:type="dxa"/>
            <w:vAlign w:val="bottom"/>
            <w:gridSpan w:val="19"/>
          </w:tcPr>
          <w:p>
            <w:pPr>
              <w:spacing w:after="0"/>
              <w:rPr>
                <w:sz w:val="21"/>
                <w:szCs w:val="21"/>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4.</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Mine Safety Disclosures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69</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3900"/>
              <w:spacing w:after="0"/>
              <w:rPr>
                <w:rFonts w:ascii="Times New Roman" w:cs="Times New Roman" w:eastAsia="Times New Roman" w:hAnsi="Times New Roman"/>
                <w:sz w:val="18"/>
                <w:szCs w:val="18"/>
                <w:b w:val="1"/>
                <w:bCs w:val="1"/>
                <w:color w:val="0000EE"/>
                <w:w w:val="94"/>
              </w:rPr>
            </w:pPr>
            <w:hyperlink w:anchor="page70">
              <w:r>
                <w:rPr>
                  <w:rFonts w:ascii="Times New Roman" w:cs="Times New Roman" w:eastAsia="Times New Roman" w:hAnsi="Times New Roman"/>
                  <w:sz w:val="18"/>
                  <w:szCs w:val="18"/>
                  <w:b w:val="1"/>
                  <w:bCs w:val="1"/>
                  <w:color w:val="0000EE"/>
                  <w:w w:val="94"/>
                </w:rPr>
                <w:t>PART II</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70</w:t>
              </w:r>
            </w:hyperlink>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74"/>
        </w:trPr>
        <w:tc>
          <w:tcPr>
            <w:tcW w:w="1240" w:type="dxa"/>
            <w:vAlign w:val="bottom"/>
            <w:gridSpan w:val="6"/>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5.</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Market for Registrant’s Common Units, Related Unitholder Matters and Issuer Purchases of Equity Securities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70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6.</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Selected Financial Data</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7.</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3"/>
              </w:rPr>
            </w:pPr>
            <w:hyperlink w:anchor="page106">
              <w:r>
                <w:rPr>
                  <w:rFonts w:ascii="Times New Roman" w:cs="Times New Roman" w:eastAsia="Times New Roman" w:hAnsi="Times New Roman"/>
                  <w:sz w:val="18"/>
                  <w:szCs w:val="18"/>
                  <w:color w:val="0000EE"/>
                  <w:w w:val="93"/>
                </w:rPr>
                <w:t>Item 7A.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Quantitative and Qualitative Disclosures About Market Risk</w:t>
              </w:r>
            </w:hyperlink>
          </w:p>
        </w:tc>
        <w:tc>
          <w:tcPr>
            <w:tcW w:w="4060" w:type="dxa"/>
            <w:vAlign w:val="bottom"/>
            <w:gridSpan w:val="11"/>
          </w:tcPr>
          <w:p>
            <w:pPr>
              <w:spacing w:after="0"/>
              <w:rPr>
                <w:sz w:val="21"/>
                <w:szCs w:val="21"/>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106</w:t>
              </w:r>
            </w:hyperlink>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Item 8.</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Financial Statements and Supplementary Data</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107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Item 9.</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107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3"/>
              </w:rPr>
            </w:pPr>
            <w:hyperlink w:anchor="page107">
              <w:r>
                <w:rPr>
                  <w:rFonts w:ascii="Times New Roman" w:cs="Times New Roman" w:eastAsia="Times New Roman" w:hAnsi="Times New Roman"/>
                  <w:sz w:val="18"/>
                  <w:szCs w:val="18"/>
                  <w:color w:val="0000EE"/>
                  <w:w w:val="93"/>
                </w:rPr>
                <w:t>Item 9A.</w:t>
              </w:r>
            </w:hyperlink>
          </w:p>
        </w:tc>
        <w:tc>
          <w:tcPr>
            <w:tcW w:w="6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Controls and Procedures</w:t>
              </w:r>
            </w:hyperlink>
          </w:p>
        </w:tc>
        <w:tc>
          <w:tcPr>
            <w:tcW w:w="6640" w:type="dxa"/>
            <w:vAlign w:val="bottom"/>
            <w:gridSpan w:val="21"/>
          </w:tcPr>
          <w:p>
            <w:pPr>
              <w:spacing w:after="0"/>
              <w:rPr>
                <w:sz w:val="21"/>
                <w:szCs w:val="21"/>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107</w:t>
              </w:r>
            </w:hyperlink>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Item 9B.</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Other Information</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108</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Times New Roman" w:cs="Times New Roman" w:eastAsia="Times New Roman" w:hAnsi="Times New Roman"/>
                <w:sz w:val="18"/>
                <w:szCs w:val="18"/>
                <w:b w:val="1"/>
                <w:bCs w:val="1"/>
                <w:color w:val="0000EE"/>
                <w:w w:val="96"/>
              </w:rPr>
            </w:pPr>
            <w:hyperlink w:anchor="page109">
              <w:r>
                <w:rPr>
                  <w:rFonts w:ascii="Times New Roman" w:cs="Times New Roman" w:eastAsia="Times New Roman" w:hAnsi="Times New Roman"/>
                  <w:sz w:val="18"/>
                  <w:szCs w:val="18"/>
                  <w:b w:val="1"/>
                  <w:bCs w:val="1"/>
                  <w:color w:val="0000EE"/>
                  <w:w w:val="96"/>
                </w:rPr>
                <w:t>PART III</w:t>
              </w:r>
            </w:hyperlink>
          </w:p>
        </w:tc>
        <w:tc>
          <w:tcPr>
            <w:tcW w:w="3840" w:type="dxa"/>
            <w:vAlign w:val="bottom"/>
            <w:gridSpan w:val="7"/>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109</w:t>
              </w:r>
            </w:hyperlink>
          </w:p>
        </w:tc>
      </w:tr>
      <w:tr>
        <w:trPr>
          <w:trHeight w:val="574"/>
        </w:trPr>
        <w:tc>
          <w:tcPr>
            <w:tcW w:w="6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Item 10.</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Directors and Executive Officers of Our General Partner and Corporate Governance</w:t>
              </w:r>
            </w:hyperlink>
          </w:p>
        </w:tc>
        <w:tc>
          <w:tcPr>
            <w:tcW w:w="2360" w:type="dxa"/>
            <w:vAlign w:val="bottom"/>
            <w:gridSpan w:val="5"/>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109</w:t>
              </w:r>
            </w:hyperlink>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Item 11.</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Executive Compensation</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109</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Item 12.</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gridSpan w:val="27"/>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Security Ownership of Certain Beneficial Owners and Management and Related Unitholder Matters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109</w:t>
              </w:r>
            </w:hyperlink>
          </w:p>
        </w:tc>
      </w:tr>
      <w:tr>
        <w:trPr>
          <w:trHeight w:val="250"/>
        </w:trPr>
        <w:tc>
          <w:tcPr>
            <w:tcW w:w="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110">
              <w:r>
                <w:rPr>
                  <w:rFonts w:ascii="Times New Roman" w:cs="Times New Roman" w:eastAsia="Times New Roman" w:hAnsi="Times New Roman"/>
                  <w:sz w:val="18"/>
                  <w:szCs w:val="18"/>
                  <w:color w:val="0000EE"/>
                  <w:w w:val="96"/>
                </w:rPr>
                <w:t>Item 13.</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546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110">
              <w:r>
                <w:rPr>
                  <w:rFonts w:ascii="Times New Roman" w:cs="Times New Roman" w:eastAsia="Times New Roman" w:hAnsi="Times New Roman"/>
                  <w:sz w:val="18"/>
                  <w:szCs w:val="18"/>
                  <w:color w:val="0000EE"/>
                  <w:w w:val="99"/>
                </w:rPr>
                <w:t>Certain Relationships and Related Transactions, and Director Independence</w:t>
              </w:r>
            </w:hyperlink>
          </w:p>
        </w:tc>
        <w:tc>
          <w:tcPr>
            <w:tcW w:w="1740" w:type="dxa"/>
            <w:vAlign w:val="bottom"/>
            <w:tcBorders>
              <w:top w:val="single" w:sz="8" w:color="0000EE"/>
            </w:tcBorders>
            <w:gridSpan w:val="4"/>
          </w:tcPr>
          <w:p>
            <w:pPr>
              <w:spacing w:after="0"/>
              <w:rPr>
                <w:sz w:val="21"/>
                <w:szCs w:val="21"/>
                <w:color w:val="auto"/>
              </w:rPr>
            </w:pPr>
          </w:p>
        </w:tc>
        <w:tc>
          <w:tcPr>
            <w:tcW w:w="1220" w:type="dxa"/>
            <w:vAlign w:val="bottom"/>
            <w:gridSpan w:val="2"/>
          </w:tcPr>
          <w:p>
            <w:pPr>
              <w:spacing w:after="0"/>
              <w:rPr>
                <w:sz w:val="21"/>
                <w:szCs w:val="21"/>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110</w:t>
              </w:r>
            </w:hyperlink>
          </w:p>
        </w:tc>
      </w:tr>
      <w:tr>
        <w:trPr>
          <w:trHeight w:val="250"/>
        </w:trPr>
        <w:tc>
          <w:tcPr>
            <w:tcW w:w="1240" w:type="dxa"/>
            <w:vAlign w:val="bottom"/>
            <w:gridSpan w:val="6"/>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Item 14.</w:t>
              </w:r>
            </w:hyperlink>
          </w:p>
        </w:tc>
        <w:tc>
          <w:tcPr>
            <w:tcW w:w="8660" w:type="dxa"/>
            <w:vAlign w:val="bottom"/>
            <w:gridSpan w:val="28"/>
          </w:tcPr>
          <w:p>
            <w:pPr>
              <w:ind w:left="240"/>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Principal Accountant Fees and Services</w:t>
              </w:r>
            </w:hyperlink>
          </w:p>
        </w:tc>
        <w:tc>
          <w:tcPr>
            <w:tcW w:w="1480" w:type="dxa"/>
            <w:vAlign w:val="bottom"/>
          </w:tcPr>
          <w:p>
            <w:pPr>
              <w:jc w:val="right"/>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110</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5"/>
              </w:rPr>
            </w:pPr>
            <w:hyperlink w:anchor="page111">
              <w:r>
                <w:rPr>
                  <w:rFonts w:ascii="Times New Roman" w:cs="Times New Roman" w:eastAsia="Times New Roman" w:hAnsi="Times New Roman"/>
                  <w:sz w:val="18"/>
                  <w:szCs w:val="18"/>
                  <w:b w:val="1"/>
                  <w:bCs w:val="1"/>
                  <w:color w:val="0000EE"/>
                  <w:w w:val="95"/>
                </w:rPr>
                <w:t>PART IV</w:t>
              </w:r>
            </w:hyperlink>
          </w:p>
        </w:tc>
        <w:tc>
          <w:tcPr>
            <w:tcW w:w="3860" w:type="dxa"/>
            <w:vAlign w:val="bottom"/>
            <w:gridSpan w:val="8"/>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111</w:t>
              </w:r>
            </w:hyperlink>
          </w:p>
        </w:tc>
      </w:tr>
      <w:tr>
        <w:trPr>
          <w:trHeight w:val="574"/>
        </w:trPr>
        <w:tc>
          <w:tcPr>
            <w:tcW w:w="6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111">
              <w:r>
                <w:rPr>
                  <w:rFonts w:ascii="Times New Roman" w:cs="Times New Roman" w:eastAsia="Times New Roman" w:hAnsi="Times New Roman"/>
                  <w:sz w:val="18"/>
                  <w:szCs w:val="18"/>
                  <w:color w:val="0000EE"/>
                  <w:w w:val="96"/>
                </w:rPr>
                <w:t>Item 15.</w:t>
              </w:r>
            </w:hyperlink>
          </w:p>
        </w:tc>
        <w:tc>
          <w:tcPr>
            <w:tcW w:w="6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Exhibits and Financial Statement Schedules</w:t>
              </w:r>
            </w:hyperlink>
          </w:p>
        </w:tc>
        <w:tc>
          <w:tcPr>
            <w:tcW w:w="5260" w:type="dxa"/>
            <w:vAlign w:val="bottom"/>
            <w:gridSpan w:val="17"/>
          </w:tcPr>
          <w:p>
            <w:pPr>
              <w:spacing w:after="0"/>
              <w:rPr>
                <w:sz w:val="24"/>
                <w:szCs w:val="24"/>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111</w:t>
              </w:r>
            </w:hyperlink>
          </w:p>
        </w:tc>
      </w:tr>
      <w:tr>
        <w:trPr>
          <w:trHeight w:val="250"/>
        </w:trPr>
        <w:tc>
          <w:tcPr>
            <w:tcW w:w="6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118">
              <w:r>
                <w:rPr>
                  <w:rFonts w:ascii="Times New Roman" w:cs="Times New Roman" w:eastAsia="Times New Roman" w:hAnsi="Times New Roman"/>
                  <w:sz w:val="18"/>
                  <w:szCs w:val="18"/>
                  <w:color w:val="0000EE"/>
                  <w:w w:val="96"/>
                </w:rPr>
                <w:t>Item 16.</w:t>
              </w:r>
            </w:hyperlink>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18">
              <w:r>
                <w:rPr>
                  <w:rFonts w:ascii="Times New Roman" w:cs="Times New Roman" w:eastAsia="Times New Roman" w:hAnsi="Times New Roman"/>
                  <w:sz w:val="18"/>
                  <w:szCs w:val="18"/>
                  <w:color w:val="0000EE"/>
                  <w:w w:val="99"/>
                </w:rPr>
                <w:t>Form 10-K Summary</w:t>
              </w:r>
            </w:hyperlink>
          </w:p>
        </w:tc>
        <w:tc>
          <w:tcPr>
            <w:tcW w:w="6860" w:type="dxa"/>
            <w:vAlign w:val="bottom"/>
            <w:gridSpan w:val="24"/>
          </w:tcPr>
          <w:p>
            <w:pPr>
              <w:spacing w:after="0"/>
              <w:rPr>
                <w:sz w:val="21"/>
                <w:szCs w:val="21"/>
                <w:color w:val="auto"/>
              </w:rPr>
            </w:pPr>
          </w:p>
        </w:tc>
        <w:tc>
          <w:tcPr>
            <w:tcW w:w="1480" w:type="dxa"/>
            <w:vAlign w:val="bottom"/>
          </w:tcPr>
          <w:p>
            <w:pPr>
              <w:jc w:val="right"/>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118</w:t>
              </w:r>
            </w:hyperlink>
          </w:p>
        </w:tc>
      </w:tr>
      <w:tr>
        <w:trPr>
          <w:trHeight w:val="72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7"/>
          </w:tcPr>
          <w:p>
            <w:pPr>
              <w:jc w:val="center"/>
              <w:ind w:left="417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3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80" w:lineRule="exact"/>
        <w:rPr>
          <w:sz w:val="20"/>
          <w:szCs w:val="20"/>
          <w:color w:val="auto"/>
        </w:rPr>
      </w:pPr>
    </w:p>
    <w:p>
      <w:pPr>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distortions caused by over-commitments to infrastructure projects, which impacts volumes, margins, returns and overall earnings;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including attacks on our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expansion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260" w:hanging="324"/>
        <w:spacing w:after="0" w:line="313"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30" w:lineRule="exact"/>
        <w:rPr>
          <w:rFonts w:ascii="Times New Roman" w:cs="Times New Roman" w:eastAsia="Times New Roman" w:hAnsi="Times New Roman"/>
          <w:sz w:val="17"/>
          <w:szCs w:val="17"/>
          <w:color w:val="auto"/>
        </w:rPr>
      </w:pPr>
    </w:p>
    <w:p>
      <w:pPr>
        <w:ind w:left="980" w:right="2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consummate, or significant delay in consummating, sales of assets or interests as a part of our strategic divestiture program;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11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including our ability to satisfy our contractual obligations to our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54"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Items 1 and 2. </w:t>
      </w:r>
      <w:r>
        <w:rPr>
          <w:rFonts w:ascii="Times New Roman" w:cs="Times New Roman" w:eastAsia="Times New Roman" w:hAnsi="Times New Roman"/>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History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were formed as a master limited partnership to acquire and operate the midstream crude oil businesses and assets of a predecessor entity and completed our initial public offering in 1998. From an economic perspective, we are owned 100% by our limited partners, which include common unitholders and Series A and Series B preferred unitholders. Our common units are publicly traded on the New York Stock Exchange under the ticker symbol “PAA”. Our Series A preferred units are convertible into common units on a one-for-one basis by the holders of such units or by us in certain circumstances. Our common units and Series A preferred units are collectively referred to as “Common Unit Equivalents.” Our Series B preferred units are not convertible into common units and are not included in Common Unit Equivalents.</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2017, AAP also owned a limited partner interest in us through its ownership of approximately 284.0 million of our common units (approximately 36% of our total outstanding Common Unit Equivalents).</w:t>
      </w:r>
    </w:p>
    <w:p>
      <w:pPr>
        <w:spacing w:after="0" w:line="180"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Plains All American GP LLC (“GP LLC”), a Delaware limited liability company, is AAP’s general partner. Plains GP Holdings, L.P. (“PAGP”), a Delaware limited partnership that completed its initial public offering in October 2013, is the sole and managing member of GP LLC, and, at December 31, 2017, owned, directly and indirectly, an approximate 55% limited partner interest in AAP. Both PAGP and GP LLC have elected to be treated as corporations for United States federal income tax purposes. PAA GP Holdings LLC (“PAGP GP”), a Delaware limited liability company, is the general partner of PAGP.</w:t>
      </w:r>
    </w:p>
    <w:p>
      <w:pPr>
        <w:spacing w:after="0" w:line="16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Structure and Management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conducted directly and indirectly through, and our operating assets are owned by, our subsidiaries. As the sole member of GP LLC, PAGP has responsibility for conducting our business and managing our operations; however, the board of directors of PAGP GP (the “PAGP GP Board”) has ultimate responsibility for managing the business and affairs of PAGP, AAP and us. Our general partner does not receive a management fee or other compensation in connection with its management of our business, but it is reimbursed for substantially all direct and indirect expenses incurred on our behalf.</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two diagrams below show our organizational structure and ownership as of December 31, 2017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Summarized Partnership Structure</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551930" cy="4450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line="228" w:lineRule="auto"/>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PAGP will hold annual meetings for the election of eligible PAGP GP directors beginning in May 2018. Through a “pass-through” voting right as a result of our ownership of Class C shares of PAGP, our common unitholders have the effective right to vote, pro rata with the holders of Class A and Class B shares of PAGP, for the election of eligible PAGP GP directors.</w:t>
      </w:r>
    </w:p>
    <w:p>
      <w:pPr>
        <w:spacing w:after="0" w:line="36"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percentage ownership of Common Unit Equivalents.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40" w:top="121" w:right="3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Detailed Partnership Structure</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704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19"/>
          </w:cols>
          <w:pgMar w:left="240" w:top="121" w:right="1440"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2332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left="660" w:right="440" w:hanging="652"/>
        <w:spacing w:after="0" w:line="228"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number of Class A units of AAP (“AAP units”) for which the outstanding Class B units of AAP (referred to herein as the “AAP Management Units”) will be exchangeable, assuming the conversion of all such units at a rate of approximately 0.941 AAP units for each AAP Management Unit.</w:t>
      </w:r>
    </w:p>
    <w:p>
      <w:pPr>
        <w:spacing w:after="0" w:line="90"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Assumes conversion of all outstanding AAP Management Units into AAP units.</w:t>
      </w:r>
    </w:p>
    <w:p>
      <w:pPr>
        <w:spacing w:after="0" w:line="98" w:lineRule="exact"/>
        <w:rPr>
          <w:rFonts w:ascii="Times New Roman" w:cs="Times New Roman" w:eastAsia="Times New Roman" w:hAnsi="Times New Roman"/>
          <w:sz w:val="25"/>
          <w:szCs w:val="25"/>
          <w:color w:val="auto"/>
          <w:vertAlign w:val="superscript"/>
        </w:rPr>
      </w:pPr>
    </w:p>
    <w:p>
      <w:pPr>
        <w:ind w:left="660" w:right="160" w:hanging="652"/>
        <w:spacing w:after="0" w:line="225"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Each Class C share represents a non-economic limited partner interest in PAGP. Through a “pass-through” voting right as a result of our ownership of Class C shares of PAGP, our common unitholders have the effective right to vote, pro rata with the holders of Class A and Class B shares of PAGP, for the election of eligible PAGP GP directors.</w:t>
      </w:r>
    </w:p>
    <w:p>
      <w:pPr>
        <w:spacing w:after="0" w:line="90" w:lineRule="exact"/>
        <w:rPr>
          <w:rFonts w:ascii="Times New Roman" w:cs="Times New Roman" w:eastAsia="Times New Roman" w:hAnsi="Times New Roman"/>
          <w:sz w:val="25"/>
          <w:szCs w:val="25"/>
          <w:color w:val="auto"/>
          <w:vertAlign w:val="superscript"/>
        </w:rPr>
      </w:pPr>
    </w:p>
    <w:p>
      <w:pPr>
        <w:ind w:left="660" w:hanging="652"/>
        <w:spacing w:after="0" w:line="218"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 does not include 792,074 common units that will become issuable to AAP that relate to AAP Management Units that are outstanding but not earned. See Note 16 to our Consolidated Financial Statements for additional discussion of the AAP Management Units.</w:t>
      </w:r>
    </w:p>
    <w:p>
      <w:pPr>
        <w:spacing w:after="0" w:line="91" w:lineRule="exact"/>
        <w:rPr>
          <w:rFonts w:ascii="Times New Roman" w:cs="Times New Roman" w:eastAsia="Times New Roman" w:hAnsi="Times New Roman"/>
          <w:sz w:val="25"/>
          <w:szCs w:val="25"/>
          <w:color w:val="auto"/>
          <w:vertAlign w:val="superscript"/>
        </w:rPr>
      </w:pPr>
    </w:p>
    <w:p>
      <w:pPr>
        <w:ind w:left="660" w:right="100" w:hanging="652"/>
        <w:spacing w:after="0" w:line="218"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percentage ownership of Common Unit Equivalents. Series B preferred units are not convertible into common units and are not included in Common Unit Equivalents.</w:t>
      </w:r>
    </w:p>
    <w:p>
      <w:pPr>
        <w:spacing w:after="0" w:line="91" w:lineRule="exact"/>
        <w:rPr>
          <w:rFonts w:ascii="Times New Roman" w:cs="Times New Roman" w:eastAsia="Times New Roman" w:hAnsi="Times New Roman"/>
          <w:sz w:val="25"/>
          <w:szCs w:val="25"/>
          <w:color w:val="auto"/>
          <w:vertAlign w:val="superscript"/>
        </w:rPr>
      </w:pPr>
    </w:p>
    <w:p>
      <w:pPr>
        <w:ind w:left="660" w:right="1040" w:hanging="652"/>
        <w:spacing w:after="0" w:line="218"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Partnership holds direct and indirect ownership interests in consolidated operating subsidiaries including, but not limited to, Plains Marketing, L.P., Plains Pipeline, L.P. and Plains Midstream Canada ULC (“PMC”).</w:t>
      </w:r>
    </w:p>
    <w:p>
      <w:pPr>
        <w:spacing w:after="0" w:line="91" w:lineRule="exact"/>
        <w:rPr>
          <w:rFonts w:ascii="Times New Roman" w:cs="Times New Roman" w:eastAsia="Times New Roman" w:hAnsi="Times New Roman"/>
          <w:sz w:val="25"/>
          <w:szCs w:val="25"/>
          <w:color w:val="auto"/>
          <w:vertAlign w:val="superscript"/>
        </w:rPr>
      </w:pPr>
    </w:p>
    <w:p>
      <w:pPr>
        <w:ind w:left="660" w:right="40" w:hanging="652"/>
        <w:spacing w:after="0" w:line="236"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Partnership holds indirect equity interests in unconsolidated entities including Advantage Pipeline, L.L.C. (“Advantage”), BridgeTex Pipeline Company, LLC (“BridgeTex”), Caddo Pipeline LLC (“Caddo”), Cheyenne Pipeline LLC (“Cheyenne”), Diamond Pipeline LLC (“Diamond”), Eagle Ford Pipeline LLC (“Eagle Ford Pipeline”), Eagle Ford Terminals Corpus Christi LLC (“Eagle Ford Terminals”), Midway Pipeline LLC (“Midway Pipeline”), Saddlehorn Pipeline Company, LLC (“Saddlehorn”), Settoon Towing, LLC (“Settoon Towing”), STACK Pipeline LLC (“STACK”) and White Cliffs Pipeline, L.L.C. (“White Cliffs”).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principal business strategy is to provide competitive and efficient midstream transportation, terminalling, storage, processing, fractionation and supply and logistics services to producers, refiners and other customers. Toward this end, we endeavor to address regional supply and demand imbalances for crude oil and NGL in the United States and Canada by combining the strategic location and capabilities of our transportation, terminalling, storage, processing and fractionation assets with our supply, logistics and distribution expertise. We believe successful execution of this strategy will enable us to generate sustainable earnings and cash flow. We intend to manage and grow our business by:</w:t>
      </w:r>
    </w:p>
    <w:p>
      <w:pPr>
        <w:spacing w:after="0" w:line="103" w:lineRule="exact"/>
        <w:rPr>
          <w:sz w:val="20"/>
          <w:szCs w:val="20"/>
          <w:color w:val="auto"/>
        </w:rPr>
      </w:pPr>
    </w:p>
    <w:p>
      <w:pPr>
        <w:ind w:left="1060" w:right="800" w:hanging="404"/>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growth projects that (i) address evolving crude oil and NGL needs in the midstream transportation and infrastructure sector and (ii) are well positioned to benefit from long-term industry trends and opportunities;</w:t>
      </w:r>
    </w:p>
    <w:p>
      <w:pPr>
        <w:spacing w:after="0" w:line="53" w:lineRule="exact"/>
        <w:rPr>
          <w:rFonts w:ascii="Times New Roman" w:cs="Times New Roman" w:eastAsia="Times New Roman" w:hAnsi="Times New Roman"/>
          <w:sz w:val="18"/>
          <w:szCs w:val="18"/>
          <w:color w:val="auto"/>
        </w:rPr>
      </w:pPr>
    </w:p>
    <w:p>
      <w:pPr>
        <w:ind w:left="1060" w:right="260" w:hanging="404"/>
        <w:spacing w:after="0" w:line="266"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our transportation, terminalling, storage, processing and fractionation assets in conjunction with our supply and logistics activities to provide flexibility for our customers, capture market opportunities, address physical market imbalances, mitigate inherent risks and increase margin;</w:t>
      </w:r>
    </w:p>
    <w:p>
      <w:pPr>
        <w:spacing w:after="0" w:line="68" w:lineRule="exact"/>
        <w:rPr>
          <w:rFonts w:ascii="Times New Roman" w:cs="Times New Roman" w:eastAsia="Times New Roman" w:hAnsi="Times New Roman"/>
          <w:sz w:val="18"/>
          <w:szCs w:val="18"/>
          <w:color w:val="auto"/>
        </w:rPr>
      </w:pPr>
    </w:p>
    <w:p>
      <w:pPr>
        <w:ind w:left="1060" w:right="140" w:hanging="404"/>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running a safe, reliable, environmentally and socially responsible operation, which includes driving operational excellence, cost savings, asset optimization and improved efficiencies throughout the organization; and</w:t>
      </w:r>
    </w:p>
    <w:p>
      <w:pPr>
        <w:spacing w:after="0" w:line="53"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pursuing strategic and accretive acquisitions that complement our existing asset base and distribution capabilities.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following competitive strengths position us to successfully execute our principal business strategy:</w:t>
      </w:r>
    </w:p>
    <w:p>
      <w:pPr>
        <w:spacing w:after="0" w:line="142" w:lineRule="exact"/>
        <w:rPr>
          <w:sz w:val="20"/>
          <w:szCs w:val="20"/>
          <w:color w:val="auto"/>
        </w:rPr>
      </w:pPr>
    </w:p>
    <w:p>
      <w:pPr>
        <w:ind w:left="980" w:right="20" w:hanging="324"/>
        <w:spacing w:after="0" w:line="25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Many of our assets are strategically located and operationally flexible. </w:t>
      </w:r>
      <w:r>
        <w:rPr>
          <w:rFonts w:ascii="Times New Roman" w:cs="Times New Roman" w:eastAsia="Times New Roman" w:hAnsi="Times New Roman"/>
          <w:sz w:val="18"/>
          <w:szCs w:val="18"/>
          <w:color w:val="auto"/>
        </w:rPr>
        <w:t>The majority of our primary Transportation segment assets are in crude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service, are located in well-established crude oil producing regions (with our largest asset presence in the Permian Basin) and other transportation corridors and are connected, directly or indirectly, with our Facilities segment assets. The majority of our Facilities segment assets are located at major trading locations and premium markets that serve as gateways to major North American refinery and distribution markets where we have strong business relationships. In addition, our assets include pipeline, rail, barge, truck and storage assets, which provide our customers and us with significant flexibility and optionality to satisfy demand and balance markets, particularly during a dynamic period of changing product flows and recent developments with respect to rising crude oil exports.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980" w:right="20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possess specialized crude oil and NGL market knowledge. </w:t>
      </w:r>
      <w:r>
        <w:rPr>
          <w:rFonts w:ascii="Times New Roman" w:cs="Times New Roman" w:eastAsia="Times New Roman" w:hAnsi="Times New Roman"/>
          <w:sz w:val="18"/>
          <w:szCs w:val="18"/>
          <w:color w:val="auto"/>
        </w:rPr>
        <w:t>We believe our business relationships with participants in various phases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and NGL distribution chain, from producers to refiners, as well as our own industry expertise (including our knowledge of North American crude oil and NGL flows), provide us with an extensive understanding of the North American physical crude oil and NGL markets.</w:t>
      </w:r>
    </w:p>
    <w:p>
      <w:pPr>
        <w:spacing w:after="0" w:line="65"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supply and logistics activities typically generate a positive margin with the opportunity to realize incremental margins. </w:t>
      </w:r>
      <w:r>
        <w:rPr>
          <w:rFonts w:ascii="Times New Roman" w:cs="Times New Roman" w:eastAsia="Times New Roman" w:hAnsi="Times New Roman"/>
          <w:sz w:val="18"/>
          <w:szCs w:val="18"/>
          <w:color w:val="auto"/>
        </w:rPr>
        <w:t>We believe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activities executed within our Supply and Logistics segment in combination with our risk management strategies provides us with a low-risk opportunity to generate incremental margin, the amount of which may vary depending on market conditions (such as commodity price levels, differentials and certain competitive factors).</w:t>
      </w:r>
    </w:p>
    <w:p>
      <w:pPr>
        <w:spacing w:after="0" w:line="71"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the evaluation, integration and engineering skill sets and the financial flexibility to continue to pursue acquisition and expansion opportunities. </w:t>
      </w:r>
      <w:r>
        <w:rPr>
          <w:rFonts w:ascii="Times New Roman" w:cs="Times New Roman" w:eastAsia="Times New Roman" w:hAnsi="Times New Roman"/>
          <w:sz w:val="18"/>
          <w:szCs w:val="18"/>
          <w:color w:val="auto"/>
        </w:rPr>
        <w:t>Since 1998, we have completed and integrated over 90 acquisitions with an aggregate purchase price of approximately $13.2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Since 1998, we have also implemented expansion capital projects totaling approximately $12.6 billion. In addition, considering our investment grade credit rating, liquidity and capital structure, we believe we have the financial resources and strength necessary to finance future strategic expansion and acquisition opportunities. As of December 31, 2017, we had approximately $3.0 billion of liquidity available, including cash and cash equivalents and availability under our committed credit facilities, subject to continued covenant compliance.</w:t>
      </w:r>
    </w:p>
    <w:p>
      <w:pPr>
        <w:spacing w:after="0" w:line="74" w:lineRule="exact"/>
        <w:rPr>
          <w:rFonts w:ascii="Times New Roman" w:cs="Times New Roman" w:eastAsia="Times New Roman" w:hAnsi="Times New Roman"/>
          <w:sz w:val="18"/>
          <w:szCs w:val="18"/>
          <w:color w:val="auto"/>
        </w:rPr>
      </w:pPr>
    </w:p>
    <w:p>
      <w:pPr>
        <w:ind w:left="980" w:right="24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an experienced management team whose interests are aligned with those of our unitholders. </w:t>
      </w:r>
      <w:r>
        <w:rPr>
          <w:rFonts w:ascii="Times New Roman" w:cs="Times New Roman" w:eastAsia="Times New Roman" w:hAnsi="Times New Roman"/>
          <w:sz w:val="18"/>
          <w:szCs w:val="18"/>
          <w:color w:val="auto"/>
        </w:rPr>
        <w:t>Our executive management team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of 32 years of industry experience, and an average of 17 years with us or our predecessors and affiliates. In addition, through their ownership of common units, grants of phantom units and interests in our general partner, including interests in PAGP, AAP units and AAP Management Units, our management team has a vested interest in our continued success.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Credit Profile</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believe that a major factor in our continued success is our ability to maintain a competitive cost of capital and access to the capital markets. In that regard, we intend to maintain a credit profile that we believe is consistent with investment grade credit ratings. We target a credit profile with the following attributes:</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long-term debt-to-total capitalization ratio of approximately 50% or less;</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debt-to-adjusted EBITDA multiple averaging between 3.5x and 4.0x (adjusted EBITDA is earnings before interest, taxes, depreciation and amortization and further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total debt-to-total capitalization ratio of approximately 60% or less;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adjusted EBITDA-to-interest coverage multiple of approximately 3.3x or better.</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first two of these four metrics include long-term debt as a critical measure. We also incur short-term debt in connection with our supply and logistics activities that involve the simultaneous purchase and forward sale of crude oil and NGL. The crude oil and NGL purchased in these transactions are hedged. We do not consider the working capital borrowings associated with these activities to be part of our long-term capital structure. These borrowings are self-liquidating as they are repaid with sales proceeds. As part of our Leverage Reduction Plan (as discussed further below), we have reduced our levels of hedged inventory related borrowings. We also incur short-term debt to fund New York Mercantile Exchange (“NYMEX”) and Intercontinental Exchange (“ICE”) margin requirements. In certain market conditions, these routine short-term debt levels may increase significantly above baseline levels. For example, our short-term debt levels at December 31, 2017 and 2016 included borrowings for $212 million and $410 million, respectively, of margin requirements, which were significantly elevated from historical levels primarily due to the increase in crude oil prices at the end of each year.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Typically, to maintain our targeted credit profile and achieve growth through acquisitions and expansion capital, we fund approximately 55% of the capital requirements associated with these activities with equity and cash flow in excess of distributions. From time to time, we may be outside the parameters of our targeted credit profile as, in certain cases, capital expenditures and acquisitions may be financed initially using debt or there may be delays in realizing anticipated synergies from acquisitions or contributions from expansion capital projects to adjusted EBITDA. As a result of a challenging environment and the impact of the gap in the timing between funding our capital program and the time the assets are placed in service and begin to generate cash flow, we expect our long-term debt-to-adjusted EBITDA to be above our target range for the near-term. We expect this leverage ratio will improve and return to our targeted levels as we execute our Leverage Reduction Plan (discussed further below), and as the industry recovers and we realize EBITDA growth from our capital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Reduction Plan</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On August 25, 2017, we announced that we were implementing an action plan to strengthen our balance sheet, reduce leverage, enhance our distribution coverage, minimize new issuances of common equity and position the Partnership for future distribution growth. See Item 7. “Management’s Discussion and Analysis of Financial Condition and Results of Operations—Executive Summary” for a summary of this action plan and the status of our efforts to implement such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acquisition of midstream assets and businesses that are strategic and complementary to our existing operations constitutes an integral component of our business strategy and growth objectives. Such assets and businesses include crude oil and NGL logistics assets as well as other energy assets that have characteristics and provide opportunities similar to our existing business lines and enable us to leverage our assets, knowledge and skill 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acquisitions greater than $200 million that we have completed over the past five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Acquisition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vMerge w:val="restart"/>
          </w:tcPr>
          <w:p>
            <w:pPr>
              <w:spacing w:after="0"/>
              <w:rPr>
                <w:sz w:val="12"/>
                <w:szCs w:val="12"/>
                <w:color w:val="auto"/>
              </w:rPr>
            </w:pPr>
          </w:p>
        </w:tc>
        <w:tc>
          <w:tcPr>
            <w:tcW w:w="456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Purchase Price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Alpha Crude Connector Gathering System</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Feb-2017</w:t>
            </w:r>
          </w:p>
        </w:tc>
        <w:tc>
          <w:tcPr>
            <w:tcW w:w="4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Recently constructed gathering system located in the Northern  $</w:t>
            </w:r>
          </w:p>
        </w:tc>
        <w:tc>
          <w:tcPr>
            <w:tcW w:w="140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 Basin</w:t>
            </w: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Spectra Energy Partners Western Canada NGL</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Aug-2016</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Integrated system of NGL assets located in Western Canada</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50% Interest in BridgeTex Pipeline Company, LLC</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Nov-2014</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BridgeTex owns a crude oil pipeline that extends from</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(“BridgeTex”)</w:t>
            </w:r>
          </w:p>
        </w:tc>
        <w:tc>
          <w:tcPr>
            <w:tcW w:w="108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Colorado City, Texas to East Houston</w:t>
            </w: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2332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(3)</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502" w:lineRule="exact"/>
        <w:rPr>
          <w:sz w:val="20"/>
          <w:szCs w:val="20"/>
          <w:color w:val="auto"/>
        </w:rPr>
      </w:pPr>
    </w:p>
    <w:p>
      <w:pPr>
        <w:sectPr>
          <w:pgSz w:w="11900" w:h="16838" w:orient="portrait"/>
          <w:cols w:equalWidth="0" w:num="2">
            <w:col w:w="10980" w:space="120"/>
            <w:col w:w="320"/>
          </w:cols>
          <w:pgMar w:left="240" w:top="121" w:right="239" w:bottom="1440" w:gutter="0" w:footer="0" w:header="0"/>
          <w:type w:val="continuous"/>
        </w:sectPr>
      </w:pPr>
    </w:p>
    <w:p>
      <w:pPr>
        <w:spacing w:after="0" w:line="187" w:lineRule="exact"/>
        <w:rPr>
          <w:sz w:val="20"/>
          <w:szCs w:val="20"/>
          <w:color w:val="auto"/>
        </w:rPr>
      </w:pPr>
    </w:p>
    <w:p>
      <w:pPr>
        <w:ind w:left="660" w:right="180" w:hanging="652"/>
        <w:spacing w:after="0" w:line="233" w:lineRule="auto"/>
        <w:tabs>
          <w:tab w:leader="none" w:pos="66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our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we issued approximately 14.7 million PAA common units with a value of approximately $760 million.</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applicable, the approximate purchase price includes total cash paid and debt assumed, including amounts for working capital and inventory.</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Approximate purchase price of $180 million, net of cash, inventory and other working capital acquired.</w:t>
      </w:r>
    </w:p>
    <w:p>
      <w:pPr>
        <w:spacing w:after="0" w:line="98" w:lineRule="exact"/>
        <w:rPr>
          <w:rFonts w:ascii="Times New Roman" w:cs="Times New Roman" w:eastAsia="Times New Roman" w:hAnsi="Times New Roman"/>
          <w:sz w:val="25"/>
          <w:szCs w:val="25"/>
          <w:color w:val="auto"/>
          <w:vertAlign w:val="superscript"/>
        </w:rPr>
      </w:pPr>
    </w:p>
    <w:p>
      <w:pPr>
        <w:ind w:left="660" w:right="520" w:hanging="652"/>
        <w:spacing w:after="0" w:line="214" w:lineRule="auto"/>
        <w:tabs>
          <w:tab w:leader="none" w:pos="66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Approximate purchase price of $1.075 billion, net of working capital acquired. We account for our 50% interest in BridgeTex under the equity method of accounting.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2016, we initiated a program to evaluate potential sales of non-core assets and/or sales of partial interests in assets to strategic joint venture partners to optimize our asset portfolio and strengthen our balance sheet and leverage metrics. Through December 31, 2017, we have completed asset sales totaling approximately $1.7 billion, of which approximately $0.6 billion closed in 2016 (net of amounts paid for the remaining interest in a pipeline that was subsequently sold) and approximately $1.1 billion closed in 2017. See Note 6 to our Consolidated Financial Statements for additional discussion of our dispositions and divestitures.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Acquisition, Divestiture and Investment Activities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See Item 1A. “Risk Factors—Risks Related to Our Business—If we make acquisitions that fail to perform as anticipated, our future growth may be limited” and “—Acquisitions and divestitures involve risks that may adversely affect our business.”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 Capital Projects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extensive asset base and our relationships with customers provide us with opportunities for organic growth through the construction of additional assets that are complementary to, and expand or extend, our existing asset base. Our 2018 expansion capital plan is representative of the diversity and balance of our overall project portfolio. The following expansion capital projects are included in our 2018 capital plan as of February 2018: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220" w:type="dxa"/>
            <w:vAlign w:val="bottom"/>
          </w:tcPr>
          <w:p>
            <w:pPr>
              <w:spacing w:after="0"/>
              <w:rPr>
                <w:sz w:val="13"/>
                <w:szCs w:val="13"/>
                <w:color w:val="auto"/>
              </w:rPr>
            </w:pPr>
          </w:p>
        </w:tc>
        <w:tc>
          <w:tcPr>
            <w:tcW w:w="12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2018 Plan</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120" w:type="dxa"/>
            <w:vAlign w:val="bottom"/>
            <w:vMerge w:val="restart"/>
          </w:tcPr>
          <w:p>
            <w:pPr>
              <w:spacing w:after="0"/>
              <w:rPr>
                <w:sz w:val="12"/>
                <w:szCs w:val="12"/>
                <w:color w:val="auto"/>
              </w:rPr>
            </w:pPr>
          </w:p>
        </w:tc>
        <w:tc>
          <w:tcPr>
            <w:tcW w:w="536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In-Service Date</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Permian Basin Takeaway Pipeline</w:t>
            </w:r>
          </w:p>
        </w:tc>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Primarily includes (i) the Cactus II pipeline system project and (ii) the</w:t>
            </w:r>
          </w:p>
        </w:tc>
        <w:tc>
          <w:tcPr>
            <w:tcW w:w="14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rPr>
              <w:t>Q1 2019 - Q3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Projects</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extension/looping of the Sunrise pipeline system</w:t>
            </w:r>
          </w:p>
        </w:tc>
        <w:tc>
          <w:tcPr>
            <w:tcW w:w="1460" w:type="dxa"/>
            <w:vAlign w:val="bottom"/>
            <w:tcBorders>
              <w:bottom w:val="single" w:sz="8" w:color="CCEEFF"/>
            </w:tcBorders>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Complementary Permian Basin</w:t>
            </w: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Multiple projects to support the Permian Basin takeaway pipeline</w:t>
            </w: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Q1 2018 - Q4</w:t>
            </w:r>
          </w:p>
        </w:tc>
        <w:tc>
          <w:tcPr>
            <w:tcW w:w="220" w:type="dxa"/>
            <w:vAlign w:val="bottom"/>
          </w:tcPr>
          <w:p>
            <w:pPr>
              <w:spacing w:after="0"/>
              <w:rPr>
                <w:sz w:val="19"/>
                <w:szCs w:val="19"/>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Projects</w:t>
            </w: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projects, including additional terminalling and storage facilities and intra-</w:t>
            </w: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basin and gathering pipelines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Selected Facilities</w:t>
            </w:r>
          </w:p>
        </w:tc>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projects at St. James, Fort Saskatchewan and other terminals</w:t>
            </w:r>
          </w:p>
        </w:tc>
        <w:tc>
          <w:tcPr>
            <w:tcW w:w="14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rPr>
              <w:t>Q2 2018 - Q4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Projects</w:t>
            </w:r>
          </w:p>
        </w:tc>
        <w:tc>
          <w:tcPr>
            <w:tcW w:w="5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Q1 2018 - 2019+</w:t>
            </w: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000" w:type="dxa"/>
            <w:vAlign w:val="bottom"/>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Projected Expansion Capital</w:t>
            </w:r>
          </w:p>
        </w:tc>
        <w:tc>
          <w:tcPr>
            <w:tcW w:w="5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
              <w:spacing w:after="0" w:line="205" w:lineRule="exact"/>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Expenditures</w:t>
            </w:r>
          </w:p>
        </w:tc>
        <w:tc>
          <w:tcPr>
            <w:tcW w:w="5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40" w:lineRule="exact"/>
        <w:rPr>
          <w:sz w:val="20"/>
          <w:szCs w:val="20"/>
          <w:color w:val="auto"/>
        </w:rPr>
      </w:pPr>
    </w:p>
    <w:p>
      <w:pPr>
        <w:ind w:left="660" w:right="20" w:hanging="652"/>
        <w:spacing w:after="0" w:line="233" w:lineRule="auto"/>
        <w:tabs>
          <w:tab w:leader="none" w:pos="6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 Amounts reflect our expectation that certain projects will be owned in a joint venture structure with a proportionate share of the project cost dispersed among the partners.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Petroleum Market Overview</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health of the global petroleum market is dependent on the relative supply and demand of hydrocarbons, including crude oil and NGL. These supply and demand economics are greatly influenced by the broader global economic climate, exposing the petroleum market to the challenges and volatility associated with global economic development. For the period from 2004 through 2013, global liquids production increased 7.8 million barrels per day while global liquids consumption increased 9.2 million barrels per day. For the period from 2013 through 2016, global production growth outpaced global consumption growth by 1.2 million barrels per day resulting in a cumulative imbalance of 1.0 million barrels per day. In 2017, the global supply/demand gap tightened as global liquids consumption increased 1.4 million barrels per day, the third consecutive year of above trend demand growth. The Organization of Petroleum Exporting Countries (“OPEC”) supply growth was limited as a result of the November 2016 OPEC production agreement that aimed to limit OPEC crude oil output to 32.5 million barrels per day. The table below depicts historical OPEC and non-OPEC liquids production and global liquids consumption and is derived from the U.S. Energy Information Administration (“EIA”) Short-Term Energy Outlook, January 2018 (see EIA website at </w:t>
      </w:r>
      <w:r>
        <w:rPr>
          <w:rFonts w:ascii="Times New Roman" w:cs="Times New Roman" w:eastAsia="Times New Roman" w:hAnsi="Times New Roman"/>
          <w:sz w:val="18"/>
          <w:szCs w:val="18"/>
          <w:i w:val="1"/>
          <w:iCs w:val="1"/>
          <w:color w:val="auto"/>
        </w:rPr>
        <w:t>www.eia.doe.gov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Annual Liquids Production / Consumption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from</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from</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from</w:t>
            </w: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880" w:type="dxa"/>
            <w:vAlign w:val="bottom"/>
            <w:tcBorders>
              <w:top w:val="single" w:sz="8" w:color="auto"/>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2004-2013</w:t>
            </w:r>
          </w:p>
        </w:tc>
        <w:tc>
          <w:tcPr>
            <w:tcW w:w="120" w:type="dxa"/>
            <w:vAlign w:val="bottom"/>
            <w:tcBorders>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2013-2016</w:t>
            </w:r>
          </w:p>
        </w:tc>
        <w:tc>
          <w:tcPr>
            <w:tcW w:w="120" w:type="dxa"/>
            <w:vAlign w:val="bottom"/>
            <w:tcBorders>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2016-2017</w:t>
            </w:r>
          </w:p>
        </w:tc>
      </w:tr>
      <w:tr>
        <w:trPr>
          <w:trHeight w:val="250"/>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of barrels per day) </w:t>
            </w:r>
            <w:r>
              <w:rPr>
                <w:rFonts w:ascii="Times New Roman" w:cs="Times New Roman" w:eastAsia="Times New Roman" w:hAnsi="Times New Roman"/>
                <w:sz w:val="8"/>
                <w:szCs w:val="8"/>
                <w:b w:val="1"/>
                <w:bCs w:val="1"/>
                <w:color w:val="auto"/>
              </w:rPr>
              <w:t>(1)</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9"/>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Production (Supply)</w:t>
            </w: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OPEC</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Non-OPEC</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83.4</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91.3</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93.8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97.2</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98.0</w:t>
            </w:r>
          </w:p>
        </w:tc>
        <w:tc>
          <w:tcPr>
            <w:tcW w:w="120" w:type="dxa"/>
            <w:vAlign w:val="bottom"/>
            <w:tcBorders>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right w:val="single" w:sz="8" w:color="auto"/>
            </w:tcBorders>
          </w:tcPr>
          <w:p>
            <w:pPr>
              <w:spacing w:after="0"/>
              <w:rPr>
                <w:sz w:val="20"/>
                <w:szCs w:val="20"/>
                <w:color w:val="auto"/>
              </w:rPr>
            </w:pPr>
          </w:p>
        </w:tc>
        <w:tc>
          <w:tcPr>
            <w:tcW w:w="1000" w:type="dxa"/>
            <w:vAlign w:val="bottom"/>
            <w:tcBorders>
              <w:top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Borders>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2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20" w:type="dxa"/>
            <w:vAlign w:val="bottom"/>
            <w:tcBorders>
              <w:right w:val="single" w:sz="8" w:color="auto"/>
            </w:tcBorders>
            <w:shd w:val="clear" w:color="auto" w:fill="CCEEFF"/>
          </w:tcPr>
          <w:p>
            <w:pPr>
              <w:spacing w:after="0"/>
              <w:rPr>
                <w:sz w:val="23"/>
                <w:szCs w:val="23"/>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Consumption (Demand)</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83.0</w:t>
            </w:r>
          </w:p>
        </w:tc>
        <w:tc>
          <w:tcPr>
            <w:tcW w:w="1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92.2</w:t>
            </w:r>
          </w:p>
        </w:tc>
        <w:tc>
          <w:tcPr>
            <w:tcW w:w="1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93.6</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97.0</w:t>
            </w: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98.4</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290"/>
        </w:trPr>
        <w:tc>
          <w:tcPr>
            <w:tcW w:w="3200" w:type="dxa"/>
            <w:vAlign w:val="bottom"/>
            <w:tcBorders>
              <w:bottom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auto"/>
            </w:tcBorders>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0" w:type="dxa"/>
            <w:vAlign w:val="bottom"/>
            <w:tcBorders>
              <w:bottom w:val="single" w:sz="8" w:color="auto"/>
              <w:right w:val="single" w:sz="8" w:color="auto"/>
            </w:tcBorders>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2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1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Global Supply / Demand Balance</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may not recalculate due to rounding.</w:t>
      </w:r>
    </w:p>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November 2017, OPEC indicated a desire to continue managing crude oil production levels. Joined by certain non-OPEC countries such as Russia and Mexico, OPEC and non-OPEC producers agreed to manage market stability for the remainder of 2018. To the extent the production cut is executed, accumulated inventories should decline further, prices should remain firm and potentially rise, ultimately leading to increased activity levels.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Market Overview</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8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40"/>
          </w:cols>
          <w:pgMar w:left="240" w:top="121" w:right="2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From 2011 through 2015,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 alternative service or reverse flows and expand the use of trucks, rail and barges for the movement of crude oil and condensate. Increased production came from mature producing areas such as the Rockies, the Permian Basin in West Texas and the Mid-Continent region, as well as from less mature, but rapidly growing areas such as the Eagle Ford Shale in South Texas and the Williston Basin in North Dakota. As a result, North American crude oil production increased 5.6 million barrels per day, or 33% between 2011 and 2015, with the increases coming primarily from Canada, the Eagle Ford Shale, the Permian Basin and the Williston Basin. Production increases in all of these regions strained existing transportation, terminalling and downstream infrastructure. The resulting opportunity for new crude oil infrastructure attracted significant investment in midstream oil assets, resulting in excess midstream capacity in the Permian, Eagle Ford, Williston, Midcontinent and Denver Julesburg basins. 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The meaningful decrease in crude oil price levels during the second half of 2014 and throughout 2015 relative to the levels experienced during 2013 and the first half of 2014 led many producers, including North American producers, to significantly scale back capital programs. As a result, during 2015, 2016 and part of 2017, the rate of growth of North American crude oil production slowed and production levels began to decrease in some areas. The combination of a slowdown in the rate of North American crude oil production growth and significant commitments for new infrastructure created an environment in which margins have compressed and differentials have tightened, reaching levels that are less than transportation cost in some cases. As the rate of production growth increases and pipeline utilizations increase, differentials should increase. The improvement is expected to occur on a regional basis based on the speed and extent of reductions in excess transportation capacity.</w:t>
      </w:r>
    </w:p>
    <w:p>
      <w:pPr>
        <w:spacing w:after="0" w:line="19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significant shifts in the type and location of crude oil being produced in North America, relative to the types and location of crude oil being produced five years ago, have led to changes in the utilization of downstream infrastructure. From 2009 through 2015, refiners increased throughputs to take advantage of discounted domestic production, which led to lower use of imported crude oil by U.S. refineries. This decline in imports was a meaningful change in a multi-year trend whereby foreign imports of crude oil tripled over an approximately 23-year period from 1985 to 2007. In 2017, U.S. refinery inputs reached historically high levels fueled by price-driven demand growth and exports. U.S. petroleum consumption increased to 19.8 million barrels per day for the twelve-month period ended December 2017. The table below shows the overall domestic petroleum consumption projected through 2019 and is derived from the EIA Short-Term Energy Outlook, January 2018 (see EIA website at </w:t>
      </w:r>
      <w:r>
        <w:rPr>
          <w:rFonts w:ascii="Times New Roman" w:cs="Times New Roman" w:eastAsia="Times New Roman" w:hAnsi="Times New Roman"/>
          <w:sz w:val="18"/>
          <w:szCs w:val="18"/>
          <w:i w:val="1"/>
          <w:iCs w:val="1"/>
          <w:color w:val="auto"/>
        </w:rPr>
        <w:t>www.eia.doe.gov</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 xml:space="preserve">Actual </w:t>
            </w:r>
            <w:r>
              <w:rPr>
                <w:rFonts w:ascii="Times New Roman" w:cs="Times New Roman" w:eastAsia="Times New Roman" w:hAnsi="Times New Roman"/>
                <w:sz w:val="8"/>
                <w:szCs w:val="8"/>
                <w:b w:val="1"/>
                <w:bCs w:val="1"/>
                <w:color w:val="auto"/>
              </w:rPr>
              <w:t>(1)</w:t>
            </w: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Projected </w:t>
            </w:r>
            <w:r>
              <w:rPr>
                <w:rFonts w:ascii="Times New Roman" w:cs="Times New Roman" w:eastAsia="Times New Roman" w:hAnsi="Times New Roman"/>
                <w:sz w:val="8"/>
                <w:szCs w:val="8"/>
                <w:b w:val="1"/>
                <w:bCs w:val="1"/>
                <w:color w:val="auto"/>
              </w:rPr>
              <w:t>(1)</w:t>
            </w:r>
          </w:p>
        </w:tc>
        <w:tc>
          <w:tcPr>
            <w:tcW w:w="84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5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of barrels per day)</w:t>
            </w:r>
          </w:p>
        </w:tc>
        <w:tc>
          <w:tcPr>
            <w:tcW w:w="4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08"/>
        </w:trPr>
        <w:tc>
          <w:tcPr>
            <w:tcW w:w="48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Supply</w:t>
            </w: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Domestic Crude Oil Production</w:t>
            </w:r>
          </w:p>
        </w:tc>
        <w:tc>
          <w:tcPr>
            <w:tcW w:w="2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Imports - Crude Oil</w:t>
            </w:r>
          </w:p>
        </w:tc>
        <w:tc>
          <w:tcPr>
            <w:tcW w:w="2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(Supply Adjustment / Stock Change)</w:t>
            </w:r>
          </w:p>
        </w:tc>
        <w:tc>
          <w:tcPr>
            <w:tcW w:w="2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Crude Oil Input to Domestic Refineries</w:t>
            </w:r>
          </w:p>
        </w:tc>
        <w:tc>
          <w:tcPr>
            <w:tcW w:w="2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r>
      <w:tr>
        <w:trPr>
          <w:trHeight w:val="297"/>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Product Imports / (Exports)</w:t>
            </w:r>
          </w:p>
        </w:tc>
        <w:tc>
          <w:tcPr>
            <w:tcW w:w="2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from Renewable Sources</w:t>
            </w:r>
          </w:p>
        </w:tc>
        <w:tc>
          <w:tcPr>
            <w:tcW w:w="24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(NGL Production, Refinery Processing Gain)</w:t>
            </w:r>
          </w:p>
        </w:tc>
        <w:tc>
          <w:tcPr>
            <w:tcW w:w="2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Domestic Petroleum Consumption</w:t>
            </w:r>
          </w:p>
        </w:tc>
        <w:tc>
          <w:tcPr>
            <w:tcW w:w="24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20.3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18"/>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420" w:type="dxa"/>
            <w:vAlign w:val="bottom"/>
          </w:tcPr>
          <w:p>
            <w:pPr>
              <w:spacing w:after="0"/>
              <w:rPr>
                <w:sz w:val="24"/>
                <w:szCs w:val="24"/>
                <w:color w:val="auto"/>
              </w:rPr>
            </w:pPr>
          </w:p>
        </w:tc>
        <w:tc>
          <w:tcPr>
            <w:tcW w:w="4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Amounts may not recalculate due to rounding.</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Crude Oil Exports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number of countries receiving exported U.S. crude oil has risen since the removal of restrictions on exporting U.S. crude oil in December 2015. U.S. crude oil exports have occurred despite uneconomic price spreads between international and domestic crude oil grades as global counterparties began to expand their sourcing options. U.S. crude oil exports averaged 1.0 million barrels per day in the first ten months of 2017, 0.45 (76%) million barrels per day more than the full-year 2016 and 0.58 (126%) million barrels per day more than full-year 2015. Continued increases in U.S. crude oil exports will likely depend on increases in U.S. crude oil production and wider price differences between domestic and international crude oil. The table below depicts historical U.S. crude oil exports and is derived from the EIA Monthly Energy Review, January 2018 (see EIA website at </w:t>
      </w:r>
      <w:r>
        <w:rPr>
          <w:rFonts w:ascii="Times New Roman" w:cs="Times New Roman" w:eastAsia="Times New Roman" w:hAnsi="Times New Roman"/>
          <w:sz w:val="18"/>
          <w:szCs w:val="18"/>
          <w:i w:val="1"/>
          <w:iCs w:val="1"/>
          <w:color w:val="auto"/>
        </w:rPr>
        <w:t>www.eia.doe.gov</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Annual U.S. Exports of Crude Oil</w:t>
            </w: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from</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from</w:t>
            </w: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 from</w:t>
            </w:r>
          </w:p>
        </w:tc>
      </w:tr>
      <w:tr>
        <w:trPr>
          <w:trHeight w:val="264"/>
        </w:trPr>
        <w:tc>
          <w:tcPr>
            <w:tcW w:w="3440" w:type="dxa"/>
            <w:vAlign w:val="bottom"/>
          </w:tcPr>
          <w:p>
            <w:pPr>
              <w:spacing w:after="0"/>
              <w:rPr>
                <w:sz w:val="22"/>
                <w:szCs w:val="22"/>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8"/>
                <w:szCs w:val="8"/>
                <w:b w:val="1"/>
                <w:bCs w:val="1"/>
                <w:color w:val="auto"/>
              </w:rPr>
              <w:t>(1)</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2014-2015</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2015-2016</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xml:space="preserve">2016-2017 </w:t>
            </w:r>
            <w:r>
              <w:rPr>
                <w:rFonts w:ascii="Times New Roman" w:cs="Times New Roman" w:eastAsia="Times New Roman" w:hAnsi="Times New Roman"/>
                <w:sz w:val="8"/>
                <w:szCs w:val="8"/>
                <w:b w:val="1"/>
                <w:bCs w:val="1"/>
                <w:color w:val="auto"/>
              </w:rPr>
              <w:t>(1)</w:t>
            </w:r>
          </w:p>
        </w:tc>
      </w:tr>
      <w:tr>
        <w:trPr>
          <w:trHeight w:val="191"/>
        </w:trPr>
        <w:tc>
          <w:tcPr>
            <w:tcW w:w="3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(in millions of barrels per day) </w:t>
            </w:r>
            <w:r>
              <w:rPr>
                <w:rFonts w:ascii="Times New Roman" w:cs="Times New Roman" w:eastAsia="Times New Roman" w:hAnsi="Times New Roman"/>
                <w:sz w:val="8"/>
                <w:szCs w:val="8"/>
                <w:b w:val="1"/>
                <w:bCs w:val="1"/>
                <w:color w:val="auto"/>
              </w:rPr>
              <w:t>(2)</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6"/>
        </w:trPr>
        <w:tc>
          <w:tcPr>
            <w:tcW w:w="34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PADD 1</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PADD 2</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PADD 3</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0.52</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PADD 4</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PADD 5</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U.S. Crude Oil Exports</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0.35</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0.46</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0.59</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1.04</w:t>
            </w:r>
          </w:p>
        </w:tc>
        <w:tc>
          <w:tcPr>
            <w:tcW w:w="140" w:type="dxa"/>
            <w:vAlign w:val="bottom"/>
            <w:tcBorders>
              <w:right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0.11</w:t>
            </w:r>
          </w:p>
        </w:tc>
        <w:tc>
          <w:tcPr>
            <w:tcW w:w="140" w:type="dxa"/>
            <w:vAlign w:val="bottom"/>
            <w:tcBorders>
              <w:right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0.13</w:t>
            </w:r>
          </w:p>
        </w:tc>
        <w:tc>
          <w:tcPr>
            <w:tcW w:w="12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Data reflects the first ten months of 2017.</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may not recalculate due to rounding.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Market Overview</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NGL Demand. </w:t>
      </w:r>
      <w:r>
        <w:rPr>
          <w:rFonts w:ascii="Times New Roman" w:cs="Times New Roman" w:eastAsia="Times New Roman" w:hAnsi="Times New Roman"/>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40" w:hanging="324"/>
        <w:spacing w:after="0" w:line="267" w:lineRule="auto"/>
        <w:tabs>
          <w:tab w:leader="none" w:pos="9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Ethane. </w:t>
      </w:r>
      <w:r>
        <w:rPr>
          <w:rFonts w:ascii="Times New Roman" w:cs="Times New Roman" w:eastAsia="Times New Roman" w:hAnsi="Times New Roman"/>
          <w:sz w:val="18"/>
          <w:szCs w:val="18"/>
          <w:color w:val="auto"/>
        </w:rPr>
        <w:t>Ethane accounts for the largest portion of the NGL barrel and substantially all of the extracted ethane is used as feedstock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73" w:lineRule="exact"/>
        <w:rPr>
          <w:rFonts w:ascii="Times New Roman" w:cs="Times New Roman" w:eastAsia="Times New Roman" w:hAnsi="Times New Roman"/>
          <w:sz w:val="18"/>
          <w:szCs w:val="18"/>
          <w:i w:val="1"/>
          <w:iCs w:val="1"/>
          <w:color w:val="auto"/>
        </w:rPr>
      </w:pPr>
    </w:p>
    <w:p>
      <w:pPr>
        <w:ind w:left="980" w:right="40" w:hanging="324"/>
        <w:spacing w:after="0" w:line="284" w:lineRule="auto"/>
        <w:tabs>
          <w:tab w:leader="none" w:pos="9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Propane. </w:t>
      </w:r>
      <w:r>
        <w:rPr>
          <w:rFonts w:ascii="Times New Roman" w:cs="Times New Roman" w:eastAsia="Times New Roman" w:hAnsi="Times New Roman"/>
          <w:sz w:val="18"/>
          <w:szCs w:val="18"/>
          <w:color w:val="auto"/>
        </w:rPr>
        <w:t>Propane is used as heating fuel, engine fuel and industrial fuel, for agricultural burning and drying and also as petrochemical feedstock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production of ethylene and propylene.</w:t>
      </w:r>
    </w:p>
    <w:p>
      <w:pPr>
        <w:spacing w:after="0" w:line="158" w:lineRule="exact"/>
        <w:rPr>
          <w:rFonts w:ascii="Times New Roman" w:cs="Times New Roman" w:eastAsia="Times New Roman" w:hAnsi="Times New Roman"/>
          <w:sz w:val="18"/>
          <w:szCs w:val="18"/>
          <w:i w:val="1"/>
          <w:iCs w:val="1"/>
          <w:color w:val="auto"/>
        </w:rPr>
      </w:pPr>
    </w:p>
    <w:p>
      <w:pPr>
        <w:ind w:left="980" w:right="100" w:hanging="324"/>
        <w:spacing w:after="0" w:line="267" w:lineRule="auto"/>
        <w:tabs>
          <w:tab w:leader="none" w:pos="9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Normal butane. </w:t>
      </w:r>
      <w:r>
        <w:rPr>
          <w:rFonts w:ascii="Times New Roman" w:cs="Times New Roman" w:eastAsia="Times New Roman" w:hAnsi="Times New Roman"/>
          <w:sz w:val="18"/>
          <w:szCs w:val="18"/>
          <w:color w:val="auto"/>
        </w:rPr>
        <w:t>Normal butane is principally used for motor gasoline blending and as fuel gas, either alone or in a mixture with propane,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7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Iso-butane. </w:t>
      </w:r>
      <w:r>
        <w:rPr>
          <w:rFonts w:ascii="Times New Roman" w:cs="Times New Roman" w:eastAsia="Times New Roman" w:hAnsi="Times New Roman"/>
          <w:sz w:val="18"/>
          <w:szCs w:val="18"/>
          <w:color w:val="auto"/>
        </w:rPr>
        <w:t>Iso-butane is principally used by refiners to produce alkylates to enhance the octane content of motor gasoline.</w:t>
      </w:r>
    </w:p>
    <w:p>
      <w:pPr>
        <w:spacing w:after="0" w:line="225" w:lineRule="exact"/>
        <w:rPr>
          <w:rFonts w:ascii="Times New Roman" w:cs="Times New Roman" w:eastAsia="Times New Roman" w:hAnsi="Times New Roman"/>
          <w:sz w:val="18"/>
          <w:szCs w:val="18"/>
          <w:i w:val="1"/>
          <w:iCs w:val="1"/>
          <w:color w:val="auto"/>
        </w:rPr>
      </w:pPr>
    </w:p>
    <w:p>
      <w:pPr>
        <w:ind w:left="980" w:right="860" w:hanging="324"/>
        <w:spacing w:after="0" w:line="284" w:lineRule="auto"/>
        <w:tabs>
          <w:tab w:leader="none" w:pos="9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Natural Gasoline. </w:t>
      </w:r>
      <w:r>
        <w:rPr>
          <w:rFonts w:ascii="Times New Roman" w:cs="Times New Roman" w:eastAsia="Times New Roman" w:hAnsi="Times New Roman"/>
          <w:sz w:val="18"/>
          <w:szCs w:val="18"/>
          <w:color w:val="auto"/>
        </w:rPr>
        <w:t>Natural gasoline is principally used as a motor gasoline blend stock, a petrochemical feedstock, or as diluent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of heavy crude oil and bitumen, particularly in Canada.</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40"/>
          </w:cols>
          <w:pgMar w:left="240" w:top="121" w:right="2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NGL Supply. </w:t>
      </w:r>
      <w:r>
        <w:rPr>
          <w:rFonts w:ascii="Times New Roman" w:cs="Times New Roman" w:eastAsia="Times New Roman" w:hAnsi="Times New Roman"/>
          <w:sz w:val="18"/>
          <w:szCs w:val="18"/>
          <w:color w:val="auto"/>
        </w:rPr>
        <w:t>The bulk (approximately 88%) of the United States NGL supply comes from gas processing plants, which separate a mixture of NGL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dry gas (primarily methane). This NGL mix (also referred to as “Y Grade”) is then either fractionated at the processing site into the five individual NGL components (known as purity products), which may be transported, stored and sold to end use markets, or transported as a Y-Grade to a regional fractionation facility.</w:t>
      </w:r>
    </w:p>
    <w:p>
      <w:pPr>
        <w:spacing w:after="0" w:line="18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NGL products from refineries represent approximately 8%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NGL is also imported into certain regions of the United States from Canada and other parts of the world (approximately 4% of total supply). NGL (primarily propane and butane) is also exported from certain regions of the United States.</w:t>
      </w:r>
    </w:p>
    <w:p>
      <w:pPr>
        <w:spacing w:after="0" w:line="16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NGL Transportation and Trading Hubs. </w:t>
      </w:r>
      <w:r>
        <w:rPr>
          <w:rFonts w:ascii="Times New Roman" w:cs="Times New Roman" w:eastAsia="Times New Roman" w:hAnsi="Times New Roman"/>
          <w:sz w:val="18"/>
          <w:szCs w:val="18"/>
          <w:color w:val="auto"/>
        </w:rPr>
        <w:t>NGL, whether as a mixture or as purity products, is transported by pipelines, barges, railcars and tank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trucks. The method of transportation used depends on, among other things, the resources of the transporter, the locations of production points and delivery points, cost-efficiency and the quantity of product being transported. Pipelines are generally the most cost-efficient mode of transportation when large, consistent volumes of product are to be delivered.</w:t>
      </w:r>
    </w:p>
    <w:p>
      <w:pPr>
        <w:spacing w:after="0" w:line="18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NGL Storage. </w:t>
      </w:r>
      <w:r>
        <w:rPr>
          <w:rFonts w:ascii="Times New Roman" w:cs="Times New Roman" w:eastAsia="Times New Roman" w:hAnsi="Times New Roman"/>
          <w:sz w:val="18"/>
          <w:szCs w:val="18"/>
          <w:color w:val="auto"/>
        </w:rPr>
        <w:t>NGL must be stored under pressure to maintain a liquid state. The lighter the product (e.g., ethane), the greater the pressure that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maintained. Large volumes of NGL are stored in underground caverns constructed in salt or 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8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NGL Market Outlook. </w:t>
      </w:r>
      <w:r>
        <w:rPr>
          <w:rFonts w:ascii="Times New Roman" w:cs="Times New Roman" w:eastAsia="Times New Roman" w:hAnsi="Times New Roman"/>
          <w:sz w:val="18"/>
          <w:szCs w:val="18"/>
          <w:color w:val="auto"/>
        </w:rPr>
        <w:t>The growth of shale based production in both traditional and new producing areas has resulted in a significant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growth of production in non-traditional producing regions has shifted regional basis relationships and created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While a low price environment may stunt production growth, we believe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pacing w:after="0" w:line="13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absolute prices of NGL products and their prices relative to natural gas and crude oil;</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activity and wet natural gas production in developing liquids-rich production areas;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processing, fractionation, storage and transportation capacity;</w:t>
      </w:r>
    </w:p>
    <w:p>
      <w:pPr>
        <w:spacing w:after="0" w:line="184"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petro-chemical demand driven by the build-out or new builds of Ethylene Cracker capacity (ethane demand) and Propane Dehydrogenation facilities (propane demand);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export capacity for both ethane and propane;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diluent requirements for heavy Canadian oil;</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in gasoline specifications affecting demand for butane;</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demand from refiners;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weather related demand;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inefficiencies caused by regional supply and demand imbalances.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Storage Market Overview</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during high-demand periods and a warehouse for gas production in excess of daily demand during low-demand periods.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Overall market conditions for natural gas storage have been challenging during the last several years, driven by a variety of factors, including</w:t>
      </w:r>
    </w:p>
    <w:p>
      <w:pPr>
        <w:spacing w:after="0" w:line="27" w:lineRule="exact"/>
        <w:rPr>
          <w:sz w:val="20"/>
          <w:szCs w:val="20"/>
          <w:color w:val="auto"/>
        </w:rPr>
      </w:pPr>
    </w:p>
    <w:p>
      <w:pPr>
        <w:jc w:val="both"/>
        <w:ind w:right="360" w:firstLine="8"/>
        <w:spacing w:after="0" w:line="255"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natural gas supplies due to production from shale resources, (ii) a shift from Gulf of Mexico production to Northeast production causing less concern over supply disruptions from tropical weather and (iii) lower basis differentials in certain regions due to expansion and improved connectivity of natural gas transportation infrastructure.</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 (ii) increased exports of natural gas to Mexico, (iii) construction of new gas-fired power plants, (iv) sustained fuel switching from coal to natural gas among existing power plants and (v) growth in base-level industrial demand.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Segments and Associated Assets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activities are conducted through three segments—Transportation, Facilities and Supply and Logistics.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2017.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-8255</wp:posOffset>
            </wp:positionV>
            <wp:extent cx="5848985" cy="4570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description of the activities and assets for each of our three business segments.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entities that own the Advantage, BridgeTex, Caddo, Cheyenne, Diamond, Eagle Ford, Midway, Saddlehorn, STACK and White Cliffs pipeline systems, as well as Settoon Towing. We account for these investments under the equity method of accounting.</w:t>
      </w:r>
    </w:p>
    <w:p>
      <w:pPr>
        <w:spacing w:after="0" w:line="18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2017, we employed a variety of owned or, to a much lesser extent, leased long-term physical assets throughout the United States and Canada in this segment, including approximately:</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18,700 miles of active crude oil and NGL pipelines and gathering systems;</w:t>
      </w:r>
    </w:p>
    <w:p>
      <w:pPr>
        <w:spacing w:after="0" w:line="117"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barrels of active, above-ground tank capacity used primarily to facilitate pipeline throughput and help maintain product quality segregation;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810 trailers (primarily in Canada);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transport and storage barges and 30 transport tugs through our interest in Settoon Towing.</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active crude oil and NGL pipeline assets in the United States and Canada as of December 31, 2017, grouped by geographic location: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Approximate System</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2017 Average Net</w:t>
            </w:r>
          </w:p>
        </w:tc>
      </w:tr>
      <w:tr>
        <w:trPr>
          <w:trHeight w:val="211"/>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Region</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Ownership Percentage</w:t>
            </w:r>
          </w:p>
        </w:tc>
        <w:tc>
          <w:tcPr>
            <w:tcW w:w="1680" w:type="dxa"/>
            <w:vAlign w:val="bottom"/>
            <w:gridSpan w:val="2"/>
          </w:tcPr>
          <w:p>
            <w:pPr>
              <w:jc w:val="center"/>
              <w:ind w:right="120"/>
              <w:spacing w:after="0" w:line="211" w:lineRule="exact"/>
              <w:rPr>
                <w:sz w:val="20"/>
                <w:szCs w:val="20"/>
                <w:color w:val="auto"/>
              </w:rPr>
            </w:pPr>
            <w:r>
              <w:rPr>
                <w:rFonts w:ascii="Times New Roman" w:cs="Times New Roman" w:eastAsia="Times New Roman" w:hAnsi="Times New Roman"/>
                <w:sz w:val="15"/>
                <w:szCs w:val="15"/>
                <w:b w:val="1"/>
                <w:bCs w:val="1"/>
                <w:color w:val="auto"/>
                <w:w w:val="97"/>
              </w:rPr>
              <w:t xml:space="preserve">Miles </w:t>
            </w:r>
            <w:r>
              <w:rPr>
                <w:rFonts w:ascii="Times New Roman" w:cs="Times New Roman" w:eastAsia="Times New Roman" w:hAnsi="Times New Roman"/>
                <w:sz w:val="24"/>
                <w:szCs w:val="24"/>
                <w:b w:val="1"/>
                <w:bCs w:val="1"/>
                <w:color w:val="auto"/>
                <w:w w:val="97"/>
                <w:vertAlign w:val="superscript"/>
              </w:rPr>
              <w:t>(1)</w:t>
            </w:r>
          </w:p>
        </w:tc>
        <w:tc>
          <w:tcPr>
            <w:tcW w:w="1700" w:type="dxa"/>
            <w:vAlign w:val="bottom"/>
          </w:tcPr>
          <w:p>
            <w:pPr>
              <w:jc w:val="center"/>
              <w:spacing w:after="0" w:line="211" w:lineRule="exact"/>
              <w:rPr>
                <w:sz w:val="20"/>
                <w:szCs w:val="20"/>
                <w:color w:val="auto"/>
              </w:rPr>
            </w:pPr>
            <w:r>
              <w:rPr>
                <w:rFonts w:ascii="Times New Roman" w:cs="Times New Roman" w:eastAsia="Times New Roman" w:hAnsi="Times New Roman"/>
                <w:sz w:val="15"/>
                <w:szCs w:val="15"/>
                <w:b w:val="1"/>
                <w:bCs w:val="1"/>
                <w:color w:val="auto"/>
                <w:w w:val="97"/>
              </w:rPr>
              <w:t xml:space="preserve">Barrels per Day </w:t>
            </w:r>
            <w:r>
              <w:rPr>
                <w:rFonts w:ascii="Times New Roman" w:cs="Times New Roman" w:eastAsia="Times New Roman" w:hAnsi="Times New Roman"/>
                <w:sz w:val="24"/>
                <w:szCs w:val="24"/>
                <w:b w:val="1"/>
                <w:bCs w:val="1"/>
                <w:color w:val="auto"/>
                <w:w w:val="97"/>
                <w:vertAlign w:val="superscript"/>
              </w:rPr>
              <w:t>(2)</w:t>
            </w:r>
          </w:p>
        </w:tc>
      </w:tr>
      <w:tr>
        <w:trPr>
          <w:trHeight w:val="259"/>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Crude Oil Pipelines:</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Permian Basin:</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Gathering pipelines</w:t>
            </w:r>
          </w:p>
        </w:tc>
        <w:tc>
          <w:tcPr>
            <w:tcW w:w="182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80" w:type="dxa"/>
            <w:vAlign w:val="bottom"/>
            <w:gridSpan w:val="2"/>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Intra-basin pipelines </w:t>
            </w:r>
            <w:r>
              <w:rPr>
                <w:rFonts w:ascii="Times New Roman" w:cs="Times New Roman" w:eastAsia="Times New Roman" w:hAnsi="Times New Roman"/>
                <w:sz w:val="25"/>
                <w:szCs w:val="25"/>
                <w:color w:val="auto"/>
                <w:vertAlign w:val="superscript"/>
              </w:rPr>
              <w:t>(3)</w:t>
            </w:r>
          </w:p>
        </w:tc>
        <w:tc>
          <w:tcPr>
            <w:tcW w:w="182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50% - 100%</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1,285</w:t>
            </w:r>
          </w:p>
        </w:tc>
      </w:tr>
      <w:tr>
        <w:trPr>
          <w:trHeight w:val="270"/>
        </w:trPr>
        <w:tc>
          <w:tcPr>
            <w:tcW w:w="6080" w:type="dxa"/>
            <w:vAlign w:val="bottom"/>
            <w:tcBorders>
              <w:bottom w:val="single" w:sz="8" w:color="CCEEFF"/>
            </w:tcBorders>
            <w:gridSpan w:val="2"/>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Export pipelines </w:t>
            </w:r>
            <w:r>
              <w:rPr>
                <w:rFonts w:ascii="Times New Roman" w:cs="Times New Roman" w:eastAsia="Times New Roman" w:hAnsi="Times New Roman"/>
                <w:sz w:val="25"/>
                <w:szCs w:val="25"/>
                <w:color w:val="auto"/>
                <w:vertAlign w:val="superscript"/>
              </w:rPr>
              <w:t>(3)</w:t>
            </w:r>
          </w:p>
        </w:tc>
        <w:tc>
          <w:tcPr>
            <w:tcW w:w="1820" w:type="dxa"/>
            <w:vAlign w:val="bottom"/>
            <w:tcBorders>
              <w:bottom w:val="single" w:sz="8" w:color="CCEEFF"/>
            </w:tcBorders>
          </w:tcPr>
          <w:p>
            <w:pPr>
              <w:jc w:val="center"/>
              <w:ind w:left="271"/>
              <w:spacing w:after="0"/>
              <w:rPr>
                <w:sz w:val="20"/>
                <w:szCs w:val="20"/>
                <w:color w:val="auto"/>
              </w:rPr>
            </w:pPr>
            <w:r>
              <w:rPr>
                <w:rFonts w:ascii="Times New Roman" w:cs="Times New Roman" w:eastAsia="Times New Roman" w:hAnsi="Times New Roman"/>
                <w:sz w:val="18"/>
                <w:szCs w:val="18"/>
                <w:color w:val="auto"/>
                <w:w w:val="99"/>
              </w:rPr>
              <w:t>50% - 100%</w:t>
            </w:r>
          </w:p>
        </w:tc>
        <w:tc>
          <w:tcPr>
            <w:tcW w:w="14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835</w:t>
            </w: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2,855</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Texas/Eagle Ford</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50% - 100%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360</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Central</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50% - 100%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420</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60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5"/>
                <w:szCs w:val="25"/>
                <w:color w:val="auto"/>
                <w:vertAlign w:val="superscript"/>
              </w:rPr>
              <w:t>(3)</w:t>
            </w:r>
          </w:p>
        </w:tc>
        <w:tc>
          <w:tcPr>
            <w:tcW w:w="182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54% - 100%</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w:t>
            </w: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608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5"/>
                <w:szCs w:val="25"/>
                <w:color w:val="auto"/>
                <w:vertAlign w:val="superscript"/>
              </w:rPr>
              <w:t>(3)</w:t>
            </w:r>
          </w:p>
        </w:tc>
        <w:tc>
          <w:tcPr>
            <w:tcW w:w="182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21% - 100%</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395</w:t>
            </w:r>
          </w:p>
        </w:tc>
      </w:tr>
      <w:tr>
        <w:trPr>
          <w:trHeight w:val="32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Western</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185</w:t>
            </w:r>
          </w:p>
        </w:tc>
      </w:tr>
      <w:tr>
        <w:trPr>
          <w:trHeight w:val="29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w:t>
            </w:r>
          </w:p>
        </w:tc>
      </w:tr>
      <w:tr>
        <w:trPr>
          <w:trHeight w:val="324"/>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Crude Oil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17,000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4,915</w:t>
            </w:r>
          </w:p>
        </w:tc>
      </w:tr>
      <w:tr>
        <w:trPr>
          <w:trHeight w:val="31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Canadian NGL Pipelines</w:t>
            </w:r>
          </w:p>
        </w:tc>
        <w:tc>
          <w:tcPr>
            <w:tcW w:w="1820" w:type="dxa"/>
            <w:vAlign w:val="bottom"/>
            <w:tcBorders>
              <w:bottom w:val="single" w:sz="8" w:color="CCEEFF"/>
            </w:tcBorders>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21% - 100%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w:t>
            </w:r>
          </w:p>
        </w:tc>
      </w:tr>
      <w:tr>
        <w:trPr>
          <w:trHeight w:val="297"/>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Crude Oil and NGL Pipelines Total</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18,700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5,085</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32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total mileage from pipelines owned by unconsolidated entities.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440" w:hanging="652"/>
        <w:spacing w:after="0" w:line="228" w:lineRule="auto"/>
        <w:tabs>
          <w:tab w:leader="none" w:pos="66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36"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pipelines operated by a third party.</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pipeline assets are interconnected and are operated as a contiguous system. The following descriptions are organized by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portion of a pipeline system (i.e. two short-haul movements on a pipeline from point A to point B and another point B to point C would double the pipeline tariff volumes on a particular system versus a point A to point C movement). As a result, at times, our reported tariff barrel movements may exceed our total capacity.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Pipelines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Permian Basin</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are among the largest providers of crude oil midstream infrastructure and services in the Permian Basin located in west Texas and southeastern New Mexico. Our Permian Basin asset base represents an interconnected system that aggregates receipts from wellhead gathering lines and bulk truck injection locations into intra-basin trunk lines for transportation and delivery to a combination of owned and third-party mainline takeaway pipelines. Accordingly, our Permian Basin crude oil pipelines fall into one of three categories: Gathering, Intra-basin or Export.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Gathering Pipelines</w:t>
      </w:r>
    </w:p>
    <w:p>
      <w:pPr>
        <w:spacing w:after="0" w:line="18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own and operate approximately 2,860 miles of gathering pipelines in the Permian Basin. Our gathering systems are in both the Midland Basin and the Delaware Basin and in aggregate represent approximately 2 million barrels per day of pipeline capacity. This gathering capacity includes pipeline capacity that delivers volumes to regional hubs and includes certain large diameter pipeline segments/systems. Approximately 75% of the capacity of our gathering systems is in the Delaware Basin. This total gathering capacity includes over 500,000 barrels per day of incremental capacity gained in 2017 through our acquisition of the Alpha Crude Connector (“ACC”) gathering system and the completion of various expansion projects.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Intra-basin Pipelines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operate an approximately 2 million barrel per day intra-basin Permian Basin pipeline system that connects gathering and truck injection volumes to our owned and operated as well as third-party mainline pipelines that transport crude oil to major market hubs. This interconnected pipeline system is designed to provide shippers flow assurance, flexibility and access to multiple markets.</w:t>
      </w:r>
    </w:p>
    <w:p>
      <w:pPr>
        <w:spacing w:after="0" w:line="176" w:lineRule="exact"/>
        <w:rPr>
          <w:sz w:val="20"/>
          <w:szCs w:val="20"/>
          <w:color w:val="auto"/>
        </w:rPr>
      </w:pPr>
    </w:p>
    <w:p>
      <w:pPr>
        <w:ind w:right="560" w:firstLine="648"/>
        <w:spacing w:after="0" w:line="313" w:lineRule="auto"/>
        <w:rPr>
          <w:sz w:val="20"/>
          <w:szCs w:val="20"/>
          <w:color w:val="auto"/>
        </w:rPr>
      </w:pPr>
      <w:r>
        <w:rPr>
          <w:rFonts w:ascii="Times New Roman" w:cs="Times New Roman" w:eastAsia="Times New Roman" w:hAnsi="Times New Roman"/>
          <w:sz w:val="17"/>
          <w:szCs w:val="17"/>
          <w:color w:val="auto"/>
        </w:rPr>
        <w:t>Two of our largest intra-basin pipelines are the Mesa and Sunrise Pipelines. The Mesa and Sunrise Pipelines extend from our Midland, Texas terminal to our Colorado City, Texas terminal where they have access to all of the Permian Basin takeaway pipelines that originate at Colorado City.</w:t>
      </w:r>
    </w:p>
    <w:p>
      <w:pPr>
        <w:spacing w:after="0" w:line="136" w:lineRule="exact"/>
        <w:rPr>
          <w:sz w:val="20"/>
          <w:szCs w:val="20"/>
          <w:color w:val="auto"/>
        </w:rPr>
      </w:pPr>
    </w:p>
    <w:p>
      <w:pPr>
        <w:ind w:left="980" w:right="80" w:hanging="324"/>
        <w:spacing w:after="0" w:line="267"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Mesa Pipeline. </w:t>
      </w:r>
      <w:r>
        <w:rPr>
          <w:rFonts w:ascii="Times New Roman" w:cs="Times New Roman" w:eastAsia="Times New Roman" w:hAnsi="Times New Roman"/>
          <w:sz w:val="18"/>
          <w:szCs w:val="18"/>
          <w:color w:val="auto"/>
        </w:rPr>
        <w:t>We own a 63% undivided interest in and are the operator of Mesa Pipeline, which transports crude oil from Midland, Texas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refinery at Big Spring, Texas, and to connecting carriers at Colorado City, with capacity of up to 400,000 barrels per day (approximately 252,000 barrels per day attributable to our interest).</w:t>
      </w:r>
    </w:p>
    <w:p>
      <w:pPr>
        <w:spacing w:after="0" w:line="173" w:lineRule="exact"/>
        <w:rPr>
          <w:rFonts w:ascii="Times New Roman" w:cs="Times New Roman" w:eastAsia="Times New Roman" w:hAnsi="Times New Roman"/>
          <w:sz w:val="18"/>
          <w:szCs w:val="18"/>
          <w:color w:val="auto"/>
        </w:rPr>
      </w:pPr>
    </w:p>
    <w:p>
      <w:pPr>
        <w:ind w:left="980" w:right="160" w:hanging="324"/>
        <w:spacing w:after="0" w:line="259"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Sunrise Pipeline. </w:t>
      </w:r>
      <w:r>
        <w:rPr>
          <w:rFonts w:ascii="Times New Roman" w:cs="Times New Roman" w:eastAsia="Times New Roman" w:hAnsi="Times New Roman"/>
          <w:sz w:val="18"/>
          <w:szCs w:val="18"/>
          <w:color w:val="auto"/>
        </w:rPr>
        <w:t>We own and operate the Sunrise Pipeline, which transports crude oil from Midland to connecting carriers at Colorado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capacity of approximately 350,000 barrels per day. We have announced plans to loop the line from Midland to Colorado City (which will add an additional 550,000 barrels per day of capacity to Colorado City), and extend the line from Colorado City to Wichita Falls, Texas. In addition, in 2018 we sold 100,000 barrels per day of this new capacity from Midland to Wichita Falls to a refiner. These projects are underpinned by long-term shipper commitments and are expected to be placed into service in 2019.</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Export Pipelines</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own interests in three export Permian Basin pipeline systems that, on a combined basis, represent approximately 1 million barrels per day of takeaway capacity (net to our ownership interests) out of the Permian Basin.</w:t>
      </w:r>
    </w:p>
    <w:p>
      <w:pPr>
        <w:spacing w:after="0" w:line="160" w:lineRule="exact"/>
        <w:rPr>
          <w:sz w:val="20"/>
          <w:szCs w:val="20"/>
          <w:color w:val="auto"/>
        </w:rPr>
      </w:pPr>
    </w:p>
    <w:p>
      <w:pPr>
        <w:ind w:left="980" w:right="4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Basin Pipeline (Permian to Cushing). </w:t>
      </w:r>
      <w:r>
        <w:rPr>
          <w:rFonts w:ascii="Times New Roman" w:cs="Times New Roman" w:eastAsia="Times New Roman" w:hAnsi="Times New Roman"/>
          <w:sz w:val="18"/>
          <w:szCs w:val="18"/>
          <w:color w:val="auto"/>
        </w:rPr>
        <w:t>We own an 87% undivided joint interest in and are the operator of Basin Pipeline. Basin Pipeline has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origination locations at Wink, Texas and Midland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80" w:lineRule="exact"/>
        <w:rPr>
          <w:rFonts w:ascii="Times New Roman" w:cs="Times New Roman" w:eastAsia="Times New Roman" w:hAnsi="Times New Roman"/>
          <w:sz w:val="18"/>
          <w:szCs w:val="18"/>
          <w:color w:val="auto"/>
        </w:rPr>
      </w:pPr>
    </w:p>
    <w:p>
      <w:pPr>
        <w:ind w:left="980" w:right="280" w:hanging="324"/>
        <w:spacing w:after="0" w:line="259"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BridgeTex Pipeline (Permian to Houston). </w:t>
      </w:r>
      <w:r>
        <w:rPr>
          <w:rFonts w:ascii="Times New Roman" w:cs="Times New Roman" w:eastAsia="Times New Roman" w:hAnsi="Times New Roman"/>
          <w:sz w:val="18"/>
          <w:szCs w:val="18"/>
          <w:color w:val="auto"/>
        </w:rPr>
        <w:t>We own a 50% interest in BridgeTex Pipeline Company, LLC, a joint venture with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Magellan Midstream Partners, L.P. (“Magellan”). Such joint venture owns a crude oil pipeline (the “BridgeTex Pipeline”) that originates at Colorado City, receiving volumes from our Basin and Sunrise Pipelines, and extends to Houston, Texas. In 2017, the joint venture expanded BridgeTex Pipeline by 100,000 barrels per day to 400,000 barrels per day of total capacity and subsequently announced an open season for a potential additional 40,000 barrel per day expansion. The BridgeTex Pipeline is operated by Magellan.</w:t>
      </w:r>
    </w:p>
    <w:p>
      <w:pPr>
        <w:spacing w:after="0" w:line="179" w:lineRule="exact"/>
        <w:rPr>
          <w:rFonts w:ascii="Times New Roman" w:cs="Times New Roman" w:eastAsia="Times New Roman" w:hAnsi="Times New Roman"/>
          <w:sz w:val="18"/>
          <w:szCs w:val="18"/>
          <w:color w:val="auto"/>
        </w:rPr>
      </w:pPr>
    </w:p>
    <w:p>
      <w:pPr>
        <w:ind w:left="980" w:right="220" w:hanging="324"/>
        <w:spacing w:after="0" w:line="267"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Cactus Pipeline (Permian to Corpus Christi). </w:t>
      </w:r>
      <w:r>
        <w:rPr>
          <w:rFonts w:ascii="Times New Roman" w:cs="Times New Roman" w:eastAsia="Times New Roman" w:hAnsi="Times New Roman"/>
          <w:sz w:val="18"/>
          <w:szCs w:val="18"/>
          <w:color w:val="auto"/>
        </w:rPr>
        <w:t>We own and operate the Cactus Pipeline, which originates at McCamey, Texas and extends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Gardendale, Texas. Cactus Pipeline volumes are interconnected to the Corpus Christi market through a connection at Gardendale to our Eagle Ford joint venture pipeline system. In 2017, we expanded Cactus Pipeline to 390,000 barrels per day of total capacity.</w:t>
      </w:r>
    </w:p>
    <w:p>
      <w:pPr>
        <w:spacing w:after="0" w:line="173"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Cactus II Pipeline (Permian to Corpus Christi). </w:t>
      </w:r>
      <w:r>
        <w:rPr>
          <w:rFonts w:ascii="Times New Roman" w:cs="Times New Roman" w:eastAsia="Times New Roman" w:hAnsi="Times New Roman"/>
          <w:sz w:val="18"/>
          <w:szCs w:val="18"/>
          <w:color w:val="auto"/>
        </w:rPr>
        <w:t>In January 2018, we announced that we had received sufficient binding commitments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open season launched mid-December, and would be proceeding with construction of a new Permian mainline system extending directly to the Corpus Christi market (the “Cactus II Pipeline”). Furthermore, in February 2018, we announced that Cactus II Pipeline is fully committed with long-term third-party contracts following the conclusion of a second binding open season. We expect that Cactus II Pipeline will be owned in a joint-venture structure, and that we will operate the pipeline and own a majority of the interest in the pipeline. Cactus II Pipeline will have initial capacity of 585,000 barrels per day and is expected to be placed into service in the second half of 2019.</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South Texas/Eagle Ford Area</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own a 100% interest in and are the operator of gathering systems that feed into our Gardendale Station. Additionally, we own a 50% interest in Eagle Ford Pipeline LLC, a joint venture with a subsidiary of Enterprise Products Partners, L.P. (“Enterprise”). This joint venture owns a pipeline system, of which we serve as the operator, that has a total capacity of approximately 660,000 barrels per day and connects Permian and Eagle Ford area production to Corpus Christi refiners and terminals. Additionally, the joint venture system has connectivity to Houston via a connection with Enterprise’s pipeline at Lyssy, Texas.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Central</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own and operate gathering and mainline pipelines that source crude oil from Western and Central Oklahoma, Southwest Kansas and the Eastern Panhandle for transportation and delivery into our terminal facilities at Cushing, Oklahoma. In addition, we own and operate various pipeline systems that extend from our Cushing facility with interconnectivity to various demand locations, including the following systems:</w:t>
      </w:r>
    </w:p>
    <w:p>
      <w:pPr>
        <w:spacing w:after="0" w:line="17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Diamond Pipeline (Cushing to Memphis). </w:t>
      </w:r>
      <w:r>
        <w:rPr>
          <w:rFonts w:ascii="Times New Roman" w:cs="Times New Roman" w:eastAsia="Times New Roman" w:hAnsi="Times New Roman"/>
          <w:sz w:val="18"/>
          <w:szCs w:val="18"/>
          <w:color w:val="auto"/>
        </w:rPr>
        <w:t>We own a 50% interest in Diamond Pipeline LLC, a joint venture with Valero Energy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(“Valero”). This joint venture owns, and we operate, the Diamond Pipeline, which was placed into service in late 2017 and which extends from our Cushing Terminal to Valero’s refinery in Memphis, Tennessee. The Diamond Pipeline is underpinned by a long-term minimum volume commitment and currently has a total capacity of 200,000 barrels per day, which is expandable by an additional 150,000 barrels per day as conditions warrant.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Red River Pipeline (Cushing to Longview)</w:t>
      </w:r>
      <w:r>
        <w:rPr>
          <w:rFonts w:ascii="Times New Roman" w:cs="Times New Roman" w:eastAsia="Times New Roman" w:hAnsi="Times New Roman"/>
          <w:sz w:val="18"/>
          <w:szCs w:val="18"/>
          <w:color w:val="auto"/>
        </w:rPr>
        <w:t>. The Red River Pipeline is an approximately 150,000 barrels per day capacity pipeline that extends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Cushing Terminal to Longview, Texas, where it connects with various pipelines, including the Caddo Pipeline. The Red River Pipeline is supported by long-term shipper commitments and was placed into service in December 2016. We serve as operator of the pipeline. In January 2017, we sold an undivided 40% interest in a segment of the Red River Pipeline to a subsidiary of Valero Energy Partners LP. The undivided interest conveyed represents 60,000 barrels per day on the segment of the pipeline extending from Cushing to Hewitt, Oklahoma near Valero’s refinery in Ardmore, Oklahoma (the “Hewitt Segment”). We retained an undivided 60% interest in the Hewitt Segment and a 100% interest in the remaining portion of the pipeline that extends from Ardmore to Longview.</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Caddo Pipeline</w:t>
      </w:r>
      <w:r>
        <w:rPr>
          <w:rFonts w:ascii="Times New Roman" w:cs="Times New Roman" w:eastAsia="Times New Roman" w:hAnsi="Times New Roman"/>
          <w:sz w:val="18"/>
          <w:szCs w:val="18"/>
          <w:color w:val="auto"/>
        </w:rPr>
        <w:t>. We own a 50% interest in Caddo Pipeline LLC, a joint venture with Delek Logistics Partners, LP (“Delek”). The joint venture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operate, the Caddo Pipeline, which is an approximately 80,000 barrels per day capacity pipeline that originates in Longview at the terminus of the Red River Pipeline and serves refineries in Shreveport, Louisiana and El Dorado, Arkansas. The Caddo Pipeline was placed into service in December 2016 and is underpinned by shipper commitments.</w:t>
      </w:r>
    </w:p>
    <w:p>
      <w:pPr>
        <w:spacing w:after="0" w:line="18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STACK Pipeline</w:t>
      </w:r>
      <w:r>
        <w:rPr>
          <w:rFonts w:ascii="Times New Roman" w:cs="Times New Roman" w:eastAsia="Times New Roman" w:hAnsi="Times New Roman"/>
          <w:sz w:val="18"/>
          <w:szCs w:val="18"/>
          <w:color w:val="auto"/>
        </w:rPr>
        <w:t>. In 2017, we formed a 50/50 joint venture with Phillips 66 Partners, L.P., known as STACK Pipeline LLC. This joint venture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STACK Pipeline, which serves producers in the STACK (Sooner Trend Anadarko Basin Canadian and Kingfisher Counties) resource play. We serve as operator of this joint-venture system and in 2017 expanded its capacity by 150,000 barrels per day to a total capacity of 250,000 barrels per day. The project is supported by producer commitments, which also warranted our extension of the system into the core areas of the STACK resource play. This extension was completed in late 2017.</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Gulf Coast</w:t>
      </w:r>
    </w:p>
    <w:p>
      <w:pPr>
        <w:spacing w:after="0" w:line="270" w:lineRule="exact"/>
        <w:rPr>
          <w:sz w:val="20"/>
          <w:szCs w:val="20"/>
          <w:color w:val="auto"/>
        </w:rPr>
      </w:pPr>
    </w:p>
    <w:p>
      <w:pPr>
        <w:ind w:left="40" w:right="100" w:firstLine="648"/>
        <w:spacing w:after="0" w:line="258" w:lineRule="auto"/>
        <w:rPr>
          <w:sz w:val="20"/>
          <w:szCs w:val="20"/>
          <w:color w:val="auto"/>
        </w:rPr>
      </w:pPr>
      <w:r>
        <w:rPr>
          <w:rFonts w:ascii="Times New Roman" w:cs="Times New Roman" w:eastAsia="Times New Roman" w:hAnsi="Times New Roman"/>
          <w:sz w:val="18"/>
          <w:szCs w:val="18"/>
          <w:color w:val="auto"/>
        </w:rPr>
        <w:t>We own and/or operate pipelines in the Gulf Coast area with transportation and delivery into connecting carriers, terminal facilities and a refinery. This includes a 54% undivided joint interest in the Capline Pipeline system (“Capline”). Capline is an approximately 1.1 million barrel per day capacity mainline pipeline that is operated by Marathon Pipeline LLC and has historically facilitated a south-to-north movement from St. James, Louisiana to Patoka, Illinois. The Capline owners are assessing the commercial potential to reverse the pipeline direction within the next several years, potentially enabling it to transport Canadian crude oil to the U.S. Gulf Coast.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Rocky Mountain</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own and operate pipelines that provide gathering services in the Bakken and the Powder River Basin. We own a pipeline system that can move Bakken crude oil to the Enbridge mainline system at Regina, Saskatchewan. We own an undivided joint interest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w:t>
      </w:r>
    </w:p>
    <w:p>
      <w:pPr>
        <w:spacing w:after="0" w:line="182"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Saddlehorn Pipeline</w:t>
      </w:r>
      <w:r>
        <w:rPr>
          <w:rFonts w:ascii="Times New Roman" w:cs="Times New Roman" w:eastAsia="Times New Roman" w:hAnsi="Times New Roman"/>
          <w:sz w:val="18"/>
          <w:szCs w:val="18"/>
          <w:color w:val="auto"/>
        </w:rPr>
        <w:t>. We own a 40% interest in Saddlehorn Pipeline LLC (“SP LLC”), which owns 190,000 barrels per day of capacity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Saddlehorn Pipeline that extends from the Niobrara and DJ Basin to Cushing. Magellan serves as operator of the Saddlehorn Pipeline. Saddlehorn Pipeline was placed into service in 2016 and is supported by minimum volume commitments.</w:t>
      </w:r>
    </w:p>
    <w:p>
      <w:pPr>
        <w:spacing w:after="0" w:line="174"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White Cliffs Pipeline. </w:t>
      </w:r>
      <w:r>
        <w:rPr>
          <w:rFonts w:ascii="Times New Roman" w:cs="Times New Roman" w:eastAsia="Times New Roman" w:hAnsi="Times New Roman"/>
          <w:sz w:val="18"/>
          <w:szCs w:val="18"/>
          <w:color w:val="auto"/>
        </w:rPr>
        <w:t>We own an approximate 36% interest in White Cliffs Pipeline LLC, which owns an approximately 215,000 barrel per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pipeline that extends from the DJ Basin to Cushing. Rose Rock Midstream, L.P. serves as the operator of the pipeline.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Western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own and operate pipeline systems in our Western region including the following:</w:t>
      </w:r>
    </w:p>
    <w:p>
      <w:pPr>
        <w:spacing w:after="0" w:line="22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w:t>
      </w:r>
      <w:r>
        <w:rPr>
          <w:rFonts w:ascii="Times New Roman" w:cs="Times New Roman" w:eastAsia="Times New Roman" w:hAnsi="Times New Roman"/>
          <w:sz w:val="18"/>
          <w:szCs w:val="18"/>
          <w:color w:val="auto"/>
        </w:rPr>
        <w:t>We own and operate gathering pipelines with aggregate capacity of over 150,000 barrels per day that source crude oil from the San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Joaquin Valley in California and connect to our Line 63 and Line 2000 pipelines, as well as other third-party pipelines and terminals.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Line 63 and Line 2000. </w:t>
      </w:r>
      <w:r>
        <w:rPr>
          <w:rFonts w:ascii="Times New Roman" w:cs="Times New Roman" w:eastAsia="Times New Roman" w:hAnsi="Times New Roman"/>
          <w:sz w:val="18"/>
          <w:szCs w:val="18"/>
          <w:color w:val="auto"/>
        </w:rPr>
        <w:t>We own and operate the Line 63 and Line 2000 pipelines, which have an approximately 60,000 barrels per day and 130,000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per day of pipeline capacity, respectively, and transport crude oil from the San Joaquin Valley to refineries and terminal facilities in the Los Angeles Basin and in Bakersfield, California. Additionally, we have a distribution pipeline system in the Los Angeles Basin that connects our storage assets with all major refineries and third-party pipelines and marine terminals in the Los Angeles Basin.</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American Pipeline. </w:t>
      </w:r>
      <w:r>
        <w:rPr>
          <w:rFonts w:ascii="Times New Roman" w:cs="Times New Roman" w:eastAsia="Times New Roman" w:hAnsi="Times New Roman"/>
          <w:sz w:val="18"/>
          <w:szCs w:val="18"/>
          <w:color w:val="auto"/>
        </w:rPr>
        <w:t>We own the All American Pipeline, which historically received crude oil from offshore oil producers at Las Flores,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at Gaviota, California. The pipeline terminates at our Emidio Station. Between Gaviota and our Emidio Station, the All American Pipeline interconnects with our San Joaquin Valley Gathering System, Line 2000 and Line 63, as well as other third-party intrastate pipelines.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May 2015, we experienced a crude oil release on the segment of the All American Pipeline known as Line 901 that runs from Las Flores to Gaviota in Santa Barbara County, California. The segment of the pipeline upstream of our Pentland station has been shut down since this incident. We are currently evaluating a replacement of the pipeline, subject to receipt of shipper commitments and regulatory approvals. See Note 17 to our Consolidated Financial Statements for additional information regarding the Line 901 incident.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Rainbow Pipeline. </w:t>
      </w:r>
      <w:r>
        <w:rPr>
          <w:rFonts w:ascii="Times New Roman" w:cs="Times New Roman" w:eastAsia="Times New Roman" w:hAnsi="Times New Roman"/>
          <w:sz w:val="18"/>
          <w:szCs w:val="18"/>
          <w:color w:val="auto"/>
        </w:rPr>
        <w:t>We own and operate the Rainbow Pipeline, which is an approximately 185,000 barrel per day capacity pipeline that extends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Zama, Alberta to Edmonton, Alberta. The pipeline transports both blended heavy and light crude oil and includes gathering and diluent pipelines.</w:t>
      </w:r>
    </w:p>
    <w:p>
      <w:pPr>
        <w:spacing w:after="0" w:line="158"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Rangeland Pipeline. </w:t>
      </w:r>
      <w:r>
        <w:rPr>
          <w:rFonts w:ascii="Times New Roman" w:cs="Times New Roman" w:eastAsia="Times New Roman" w:hAnsi="Times New Roman"/>
          <w:sz w:val="18"/>
          <w:szCs w:val="18"/>
          <w:color w:val="auto"/>
        </w:rPr>
        <w:t>We own and operate the Rangeland Pipeline system, which transports NGL mix, butane, condensate, light sweet crude oil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 sour crude oil either north to Edmonton or south to the U.S./Canadian border near Cutbank, Montana.</w:t>
      </w:r>
    </w:p>
    <w:p>
      <w:pPr>
        <w:spacing w:after="0" w:line="15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South Saskatchewan Pipeline</w:t>
      </w:r>
      <w:r>
        <w:rPr>
          <w:rFonts w:ascii="Times New Roman" w:cs="Times New Roman" w:eastAsia="Times New Roman" w:hAnsi="Times New Roman"/>
          <w:sz w:val="18"/>
          <w:szCs w:val="18"/>
          <w:color w:val="auto"/>
        </w:rPr>
        <w:t>. We own and operate the South Saskatchewan system, which has approximately 65,000 barrels per day of capacity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 heavy crude oil from gathering areas in southern Saskatchewan to the Enbridge mainline system at Regina.</w:t>
      </w:r>
    </w:p>
    <w:p>
      <w:pPr>
        <w:spacing w:after="0" w:line="15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Manito Pipeline. </w:t>
      </w:r>
      <w:r>
        <w:rPr>
          <w:rFonts w:ascii="Times New Roman" w:cs="Times New Roman" w:eastAsia="Times New Roman" w:hAnsi="Times New Roman"/>
          <w:sz w:val="18"/>
          <w:szCs w:val="18"/>
          <w:color w:val="auto"/>
        </w:rPr>
        <w:t>We own and operate the Manito heavy oil system, which is connected to our Kerrobert Terminal, which in turn is connected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Enbridge mainline system. The Manito system includes blended crude oil lines with parallel diluent lines.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Canadian NGL Pipelines</w:t>
      </w:r>
    </w:p>
    <w:p>
      <w:pPr>
        <w:spacing w:after="0" w:line="22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Co-Ed NGL Pipeline. </w:t>
      </w:r>
      <w:r>
        <w:rPr>
          <w:rFonts w:ascii="Times New Roman" w:cs="Times New Roman" w:eastAsia="Times New Roman" w:hAnsi="Times New Roman"/>
          <w:sz w:val="18"/>
          <w:szCs w:val="18"/>
          <w:color w:val="auto"/>
        </w:rPr>
        <w:t>We own and operate the Co-Ed NGL pipeline, which has approximately 70,000 barrels per day of capacity to transport NGL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gathers from approximately 27 field gas processing plants located in Alberta, including all of the NGL produced at the Cochrane Straddle Plant for delivery to our NGL facilities at Fort Saskatchewan.</w:t>
      </w:r>
    </w:p>
    <w:p>
      <w:pPr>
        <w:spacing w:after="0" w:line="17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PPTC Pipeline. </w:t>
      </w:r>
      <w:r>
        <w:rPr>
          <w:rFonts w:ascii="Times New Roman" w:cs="Times New Roman" w:eastAsia="Times New Roman" w:hAnsi="Times New Roman"/>
          <w:sz w:val="18"/>
          <w:szCs w:val="18"/>
          <w:color w:val="auto"/>
        </w:rPr>
        <w:t>We own and operate the Plains Petroleum Transmission Company Pipeline (the “PPTC Pipeline”), which has approximately 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per day of capacity to transport NGL from Empress, Alberta to the Fort Whyte Terminal in Winnipeg, Manitoba. The PPTC Pipeline also provides access to several truck terminals and rail loading facilities.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 Segment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Revenues generated in this segment primarily include (i) fees that are generated from storage capacity agreements, (ii) terminal throughput fees that are generated when we receive liquids from one connecting source and deliver the applicable product to another connecting source, (iii) fees from NGL fractionation and isomerization services, (iv) fees from natural gas and condensate processing services, (v) fees associated with natural gas park and loan activities, interruptible storage services and wheeling and balancing services and (vi) loading and unloading fees at our rail terminals.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2017, we owned, operated or employed a variety of long-term physical assets throughout the United States and Canada in this segment, including:</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77 million barrels of crude oil storage capacity primarily at our terminalling and storage locations;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34 million barrels of NGL storage capacity;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67 billion cubic feet (“Bcf”) of natural gas storage working capacity;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Bcf of owned base gas;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natural gas processing plants located throughout Canada and the Gulf Coast area of the United States;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condensate processing facility located in the Eagle Ford area of South Texas with an aggregate processing capacity of approximately 120,000 barrels per day;</w:t>
      </w:r>
    </w:p>
    <w:p>
      <w:pPr>
        <w:spacing w:after="0" w:line="5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fractionation plants located throughout Canada and the United States with an aggregate net processing capacity of approximately 211,000 barrels per day, and an isomerization and fractionation facility in California with an aggregate processing capacity of approximately 15,000 barrels per day;</w:t>
      </w:r>
    </w:p>
    <w:p>
      <w:pPr>
        <w:spacing w:after="0" w:line="68"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crude oil and NGL rail terminals located throughout the United States and Canada. See “Rail Facilities” below for an overview of various terminals and “Supply and Logistics” regarding our use of railcars;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marine facilities in the United States;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1,000 miles of active pipelines that support our facilities assets.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tabular presentation of our active Facilities segment storage and service assets in the United States and Canada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grouped by product and service type, with capacity and volume as indicated:</w:t>
      </w:r>
    </w:p>
    <w:p>
      <w:pPr>
        <w:sectPr>
          <w:pgSz w:w="11900" w:h="16838" w:orient="portrait"/>
          <w:cols w:equalWidth="0" w:num="1">
            <w:col w:w="11320"/>
          </w:cols>
          <w:pgMar w:left="240" w:top="121" w:right="339" w:bottom="144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Crude Oil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Cushing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LA Basin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Patoka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Mobile and Ten Mile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25"/>
          <w:szCs w:val="25"/>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NGL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Sarnia Area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Fort Saskatchewan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Empress Area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Bumstead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Salt Caverns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Gas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Natural Gas Processing Facilities </w:t>
            </w:r>
            <w:r>
              <w:rPr>
                <w:rFonts w:ascii="Times New Roman" w:cs="Times New Roman" w:eastAsia="Times New Roman" w:hAnsi="Times New Roman"/>
                <w:sz w:val="8"/>
                <w:szCs w:val="8"/>
                <w:b w:val="1"/>
                <w:bCs w:val="1"/>
                <w:color w:val="auto"/>
              </w:rPr>
              <w:t>(2)</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Spec Product </w:t>
            </w:r>
            <w:r>
              <w:rPr>
                <w:rFonts w:ascii="Times New Roman" w:cs="Times New Roman" w:eastAsia="Times New Roman" w:hAnsi="Times New Roman"/>
                <w:sz w:val="8"/>
                <w:szCs w:val="8"/>
                <w:b w:val="1"/>
                <w:bCs w:val="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(Bcf/d)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United States Gulf Coast Area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Canada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120" w:type="dxa"/>
            <w:vAlign w:val="bottom"/>
          </w:tcPr>
          <w:p>
            <w:pPr>
              <w:spacing w:after="0"/>
              <w:rPr>
                <w:sz w:val="23"/>
                <w:szCs w:val="23"/>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Condensate Stabilization Facility</w:t>
            </w: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continu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6180" w:type="dxa"/>
            <w:vAlign w:val="bottom"/>
            <w:tcBorders>
              <w:bottom w:val="single" w:sz="8" w:color="auto"/>
            </w:tcBorders>
            <w:gridSpan w:val="2"/>
            <w:vMerge w:val="continue"/>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Gardendale</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NGL Fractionation and Isomerization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Spec Product </w:t>
            </w:r>
            <w:r>
              <w:rPr>
                <w:rFonts w:ascii="Times New Roman" w:cs="Times New Roman" w:eastAsia="Times New Roman" w:hAnsi="Times New Roman"/>
                <w:sz w:val="8"/>
                <w:szCs w:val="8"/>
                <w:b w:val="1"/>
                <w:bCs w:val="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(Bbls/d)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Fort Saskatchewan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120" w:type="dxa"/>
            <w:vAlign w:val="bottom"/>
          </w:tcPr>
          <w:p>
            <w:pPr>
              <w:spacing w:after="0"/>
              <w:rPr>
                <w:sz w:val="23"/>
                <w:szCs w:val="23"/>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35,100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Sarnia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20" w:type="dxa"/>
            <w:vAlign w:val="bottom"/>
          </w:tcPr>
          <w:p>
            <w:pPr>
              <w:spacing w:after="0"/>
              <w:rPr>
                <w:sz w:val="23"/>
                <w:szCs w:val="23"/>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Shafter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10,400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82-100%</w:t>
            </w:r>
          </w:p>
        </w:tc>
        <w:tc>
          <w:tcPr>
            <w:tcW w:w="120" w:type="dxa"/>
            <w:vAlign w:val="bottom"/>
          </w:tcPr>
          <w:p>
            <w:pPr>
              <w:spacing w:after="0"/>
              <w:rPr>
                <w:sz w:val="23"/>
                <w:szCs w:val="23"/>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9,300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125,800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-2443480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-2795270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Capacity</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(MMBbls)</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51435</wp:posOffset>
            </wp:positionV>
            <wp:extent cx="934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Capacity</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(MMBbls)</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34290</wp:posOffset>
            </wp:positionV>
            <wp:extent cx="934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34290</wp:posOffset>
            </wp:positionV>
            <wp:extent cx="934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51435</wp:posOffset>
            </wp:positionV>
            <wp:extent cx="934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Capacity</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(Bcf)</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Gas</w:t>
      </w:r>
    </w:p>
    <w:p>
      <w:pPr>
        <w:ind w:left="60"/>
        <w:spacing w:after="0" w:line="229" w:lineRule="auto"/>
        <w:rPr>
          <w:sz w:val="20"/>
          <w:szCs w:val="20"/>
          <w:color w:val="auto"/>
        </w:rPr>
      </w:pPr>
      <w:r>
        <w:rPr>
          <w:rFonts w:ascii="Times New Roman" w:cs="Times New Roman" w:eastAsia="Times New Roman" w:hAnsi="Times New Roman"/>
          <w:sz w:val="14"/>
          <w:szCs w:val="14"/>
          <w:b w:val="1"/>
          <w:bCs w:val="1"/>
          <w:color w:val="auto"/>
        </w:rPr>
        <w:t>Processing</w:t>
      </w:r>
    </w:p>
    <w:p>
      <w:pPr>
        <w:ind w:left="100"/>
        <w:spacing w:after="0" w:line="222" w:lineRule="auto"/>
        <w:rPr>
          <w:sz w:val="20"/>
          <w:szCs w:val="20"/>
          <w:color w:val="auto"/>
        </w:rPr>
      </w:pPr>
      <w:r>
        <w:rPr>
          <w:rFonts w:ascii="Times New Roman" w:cs="Times New Roman" w:eastAsia="Times New Roman" w:hAnsi="Times New Roman"/>
          <w:sz w:val="14"/>
          <w:szCs w:val="14"/>
          <w:b w:val="1"/>
          <w:bCs w:val="1"/>
          <w:color w:val="auto"/>
        </w:rPr>
        <w:t>Capacity</w:t>
      </w:r>
    </w:p>
    <w:p>
      <w:pPr>
        <w:ind w:left="180"/>
        <w:spacing w:after="0"/>
        <w:rPr>
          <w:sz w:val="20"/>
          <w:szCs w:val="20"/>
          <w:color w:val="auto"/>
        </w:rPr>
      </w:pPr>
      <w:r>
        <w:rPr>
          <w:rFonts w:ascii="Times New Roman" w:cs="Times New Roman" w:eastAsia="Times New Roman" w:hAnsi="Times New Roman"/>
          <w:sz w:val="14"/>
          <w:szCs w:val="14"/>
          <w:b w:val="1"/>
          <w:bCs w:val="1"/>
          <w:color w:val="auto"/>
        </w:rPr>
        <w:t>(Bcf/d)</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51435</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Capacity</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(Bbls/d)</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120,000</w:t>
      </w:r>
    </w:p>
    <w:p>
      <w:pPr>
        <w:spacing w:after="0" w:line="200" w:lineRule="exact"/>
        <w:rPr>
          <w:sz w:val="20"/>
          <w:szCs w:val="20"/>
          <w:color w:val="auto"/>
        </w:rPr>
      </w:pPr>
    </w:p>
    <w:p>
      <w:pPr>
        <w:spacing w:after="0" w:line="2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p>
      <w:pPr>
        <w:jc w:val="center"/>
        <w:ind w:right="300"/>
        <w:spacing w:after="0" w:line="229" w:lineRule="auto"/>
        <w:rPr>
          <w:sz w:val="20"/>
          <w:szCs w:val="20"/>
          <w:color w:val="auto"/>
        </w:rPr>
      </w:pPr>
      <w:r>
        <w:rPr>
          <w:rFonts w:ascii="Times New Roman" w:cs="Times New Roman" w:eastAsia="Times New Roman" w:hAnsi="Times New Roman"/>
          <w:sz w:val="14"/>
          <w:szCs w:val="14"/>
          <w:b w:val="1"/>
          <w:bCs w:val="1"/>
          <w:color w:val="auto"/>
        </w:rPr>
        <w:t>Capacity</w:t>
      </w:r>
    </w:p>
    <w:p>
      <w:pPr>
        <w:spacing w:after="0" w:line="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(Bbls/d)</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28,300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67,800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90,000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15,000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34290</wp:posOffset>
            </wp:positionV>
            <wp:extent cx="1003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226,100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34290</wp:posOffset>
            </wp:positionV>
            <wp:extent cx="1003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51435</wp:posOffset>
            </wp:positionV>
            <wp:extent cx="1003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9820" w:space="420"/>
            <w:col w:w="1080"/>
          </w:cols>
          <w:pgMar w:left="240" w:top="121" w:right="339" w:bottom="1440" w:gutter="0" w:footer="0" w:header="0"/>
          <w:type w:val="continuous"/>
        </w:sect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20"/>
          </w:cols>
          <w:pgMar w:left="240" w:top="121" w:right="3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Loading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Unloading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Rail Facilities</w:t>
            </w:r>
          </w:p>
        </w:tc>
        <w:tc>
          <w:tcPr>
            <w:tcW w:w="120" w:type="dxa"/>
            <w:vAlign w:val="bottom"/>
            <w:vMerge w:val="restart"/>
          </w:tcPr>
          <w:p>
            <w:pPr>
              <w:spacing w:after="0"/>
              <w:rPr>
                <w:sz w:val="12"/>
                <w:szCs w:val="12"/>
                <w:color w:val="auto"/>
              </w:rPr>
            </w:pPr>
          </w:p>
        </w:tc>
        <w:tc>
          <w:tcPr>
            <w:tcW w:w="18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20" w:type="dxa"/>
            <w:vAlign w:val="bottom"/>
            <w:vMerge w:val="restart"/>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(Bbls/d)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(Bbls/d)</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Crude Oil Rail Facilities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380,000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502"/>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Rack Spots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 Spots</w:t>
            </w:r>
          </w:p>
        </w:tc>
        <w:tc>
          <w:tcPr>
            <w:tcW w:w="0" w:type="dxa"/>
            <w:vAlign w:val="bottom"/>
          </w:tcPr>
          <w:p>
            <w:pPr>
              <w:spacing w:after="0"/>
              <w:rPr>
                <w:sz w:val="1"/>
                <w:szCs w:val="1"/>
                <w:color w:val="auto"/>
              </w:rPr>
            </w:pPr>
          </w:p>
        </w:tc>
      </w:tr>
      <w:tr>
        <w:trPr>
          <w:trHeight w:val="269"/>
        </w:trPr>
        <w:tc>
          <w:tcPr>
            <w:tcW w:w="6180" w:type="dxa"/>
            <w:vAlign w:val="bottom"/>
            <w:tcBorders>
              <w:top w:val="single" w:sz="8" w:color="CCEEFF"/>
            </w:tcBorders>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i w:val="1"/>
                <w:iCs w:val="1"/>
                <w:color w:val="auto"/>
              </w:rPr>
              <w:t xml:space="preserve">NGL Rail Facilities </w:t>
            </w:r>
            <w:r>
              <w:rPr>
                <w:rFonts w:ascii="Times New Roman" w:cs="Times New Roman" w:eastAsia="Times New Roman" w:hAnsi="Times New Roman"/>
                <w:sz w:val="25"/>
                <w:szCs w:val="25"/>
                <w:color w:val="auto"/>
                <w:vertAlign w:val="superscript"/>
              </w:rPr>
              <w:t>(4)</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12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32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 includes approximately 2 million barrels of storage capacity associated with our crude oil rail terminal operations.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While natural gas processing volumes and capacity amounts are presented, they currently are not a significant driver of our segment results.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average volumes net to our share for the entire year.</w:t>
      </w:r>
    </w:p>
    <w:p>
      <w:pPr>
        <w:spacing w:after="0" w:line="98" w:lineRule="exact"/>
        <w:rPr>
          <w:rFonts w:ascii="Times New Roman" w:cs="Times New Roman" w:eastAsia="Times New Roman" w:hAnsi="Times New Roman"/>
          <w:sz w:val="25"/>
          <w:szCs w:val="25"/>
          <w:color w:val="auto"/>
          <w:vertAlign w:val="superscript"/>
        </w:rPr>
      </w:pPr>
    </w:p>
    <w:p>
      <w:pPr>
        <w:ind w:left="660" w:right="400" w:hanging="652"/>
        <w:spacing w:after="0" w:line="214" w:lineRule="auto"/>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198"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discussion contains a detailed description of our more significant Facilities segment assets.</w:t>
      </w:r>
    </w:p>
    <w:p>
      <w:pPr>
        <w:spacing w:after="0" w:line="221"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color w:val="auto"/>
        </w:rPr>
        <w:t>Crude Oil Facilities</w:t>
      </w:r>
    </w:p>
    <w:p>
      <w:pPr>
        <w:spacing w:after="0" w:line="22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Cushing Terminal. </w:t>
      </w:r>
      <w:r>
        <w:rPr>
          <w:rFonts w:ascii="Times New Roman" w:cs="Times New Roman" w:eastAsia="Times New Roman" w:hAnsi="Times New Roman"/>
          <w:sz w:val="18"/>
          <w:szCs w:val="18"/>
          <w:color w:val="auto"/>
        </w:rPr>
        <w:t>We are the largest provider of crude oil terminalling services in Cushing, Oklahoma, which is one of the largest physical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hubs in the United States and is the delivery point for crude oil futures contracts traded on the NYMEX. Our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Gulf Coast refiners and plays an integral role in establishing and maintaining markets for multiple grades of foreign and domestic crude oil.</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Cushing Terminal is designed to serve the operational needs of refiners, with an emphasis on ensuring operational reliability and flexibility. Accordingly, we have access to all major inbound and outbound pipelines in Cushing and our facility is designed to handle multiple grades of crude oil while minimizing the interface and enabling deliveries to connecting carriers at their maximum rate. Since 1999, we have completed multiple expansions that have increased the capacity of our Cushing Terminal to over 25 million barrels, which includes approximately 2 million barrels of additional shell capacity that was completed in 2017. Additionally, our Cushing Terminal has 22 direct pipeline connections, both incoming and outgoing.</w:t>
      </w:r>
    </w:p>
    <w:p>
      <w:pPr>
        <w:spacing w:after="0" w:line="18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St. James Terminal. </w:t>
      </w:r>
      <w:r>
        <w:rPr>
          <w:rFonts w:ascii="Times New Roman" w:cs="Times New Roman" w:eastAsia="Times New Roman" w:hAnsi="Times New Roman"/>
          <w:sz w:val="17"/>
          <w:szCs w:val="17"/>
          <w:color w:val="auto"/>
        </w:rPr>
        <w:t>We have crude oil storage capacity at the St. James crude oil interchange in Louisiana, which is one of the three most liquid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crude oil interchanges in the United States. Our 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deliver to, tankers and barges and is also connected to our rail unloading facility. See “Rail Facilities” below for further discussion.</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 Basin. </w:t>
      </w:r>
      <w:r>
        <w:rPr>
          <w:rFonts w:ascii="Times New Roman" w:cs="Times New Roman" w:eastAsia="Times New Roman" w:hAnsi="Times New Roman"/>
          <w:sz w:val="18"/>
          <w:szCs w:val="18"/>
          <w:color w:val="auto"/>
        </w:rPr>
        <w:t>We own four crude oil and black oil storage facilities in the Los Angeles area with storage capacity in commercial service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pipeline system of approximately 50 miles of pipeline in the Los Angeles Basin. We use the Los Angeles area storage and distribution system to service the storage and distribution needs of refining, pipeline and marine terminal facilities in the Los Angeles Basin. Our Los Angeles area system’s pipeline distribution assets connect our storage assets with major refineries and third-party pipelines and marine terminals in the Los Angeles Basin.</w:t>
      </w:r>
    </w:p>
    <w:p>
      <w:pPr>
        <w:spacing w:after="0" w:line="180"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Patoka Terminal. </w:t>
      </w:r>
      <w:r>
        <w:rPr>
          <w:rFonts w:ascii="Times New Roman" w:cs="Times New Roman" w:eastAsia="Times New Roman" w:hAnsi="Times New Roman"/>
          <w:sz w:val="18"/>
          <w:szCs w:val="18"/>
          <w:color w:val="auto"/>
        </w:rPr>
        <w:t>Our Patoka Terminal includes crude oil storage and an associated manifold and header system at the Patoka Interchange located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Southern Illinois. Our terminal has access to all major pipelines and terminals at the Patoka Interchange, a growing regional hub serving both northbound and southbound movements. In 2017, we added approximately 0.5 million barrels of storage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4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Mobile and Ten Mile Terminal. </w:t>
      </w:r>
      <w:r>
        <w:rPr>
          <w:rFonts w:ascii="Times New Roman" w:cs="Times New Roman" w:eastAsia="Times New Roman" w:hAnsi="Times New Roman"/>
          <w:sz w:val="18"/>
          <w:szCs w:val="18"/>
          <w:color w:val="auto"/>
        </w:rPr>
        <w:t>We have a marine terminal in Mobile, Alabama (the “Mobile Terminal”) that has current useable capacity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million barrels. Approximately 4 million barrels of additional storage capacity is available at our nearby Ten Mile Facility, which is connected to our Mobile Terminal. Of this capacity, approximately 2 million barrels supports our Facilities segment operations, with the remaining storage supporting our Transportation segment assets. The Mobile Terminal is equipped with a ship/tanker dock, barge dock, truck unloading facilities and various third-party connections for crude oil movements to area refiners. Our Ten Mile Facility is connected to our Pascagoula Pipeline.</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Corpus Christi (Eagle Ford) Terminal. </w:t>
      </w:r>
      <w:r>
        <w:rPr>
          <w:rFonts w:ascii="Times New Roman" w:cs="Times New Roman" w:eastAsia="Times New Roman" w:hAnsi="Times New Roman"/>
          <w:sz w:val="18"/>
          <w:szCs w:val="18"/>
          <w:color w:val="auto"/>
        </w:rPr>
        <w:t>We own a 50% interest in Eagle Ford Terminals Corpus Christi LLC, a joint venture with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Eagle Ford Terminals is currently developing a terminal in Corpus Christi, Texas that, when completed, will be capable of loading ocean going vessels with either crude oil or condensate. Initial storage capacity of the terminal will be approximately 1 million barrels. The facility will have access to production from both the Eagle Ford and the Permian Basin through the Eagle Ford joint venture pipeline and is expected to be placed into service in 2018.</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Storage Facilities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Sarnia Area. </w:t>
      </w:r>
      <w:r>
        <w:rPr>
          <w:rFonts w:ascii="Times New Roman" w:cs="Times New Roman" w:eastAsia="Times New Roman" w:hAnsi="Times New Roman"/>
          <w:sz w:val="18"/>
          <w:szCs w:val="18"/>
          <w:color w:val="auto"/>
        </w:rPr>
        <w:t>Our Sarnia Area facilities in Southwestern Ontario have an aggregate useable storage capacity of 10 million barrels and consist of</w:t>
      </w:r>
    </w:p>
    <w:p>
      <w:pPr>
        <w:spacing w:after="0" w:line="29" w:lineRule="exact"/>
        <w:rPr>
          <w:sz w:val="20"/>
          <w:szCs w:val="20"/>
          <w:color w:val="auto"/>
        </w:rPr>
      </w:pPr>
    </w:p>
    <w:p>
      <w:pPr>
        <w:jc w:val="both"/>
        <w:ind w:right="320" w:firstLine="8"/>
        <w:spacing w:after="0" w:line="277" w:lineRule="auto"/>
        <w:tabs>
          <w:tab w:leader="none" w:pos="2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Sarnia facility, (ii) our Windsor storage terminal and (iii) our St. Clair terminal. The Sarnia facility is a large NGL fractionation and storage facility located in the Sarnia Chemical Valley that contains multiple rail and truck loading locations and is served by a network of 14 pipelines providing product delivery capabilities to our Windsor and St. Clair terminal facilities, in addition to refineries, chemical plants and other pipeline systems in the area.</w:t>
      </w:r>
    </w:p>
    <w:p>
      <w:pPr>
        <w:spacing w:after="0" w:line="16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Fort Saskatchewan. </w:t>
      </w:r>
      <w:r>
        <w:rPr>
          <w:rFonts w:ascii="Times New Roman" w:cs="Times New Roman" w:eastAsia="Times New Roman" w:hAnsi="Times New Roman"/>
          <w:sz w:val="18"/>
          <w:szCs w:val="18"/>
          <w:color w:val="auto"/>
        </w:rPr>
        <w:t>The Fort Saskatchewan facility is located near Edmonton, Alberta in one of the key North American NGL hubs. The facility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storage, fractionation and delivery facility for NGL and is connected to other major NGL plants and pipeline systems in the area. The facility’s primary assets include 25 storage caverns with an aggregate of approximately 10 million barrels in useable storage capacity. The facility includes assets operated by us and assets operated by a third party. Our ownership in the various facility assets ranges from approximately 21% to 100%. See the section entitled “—NGL Fractionation and Isomerization Facilities” below for additional discussion of this facility.</w:t>
      </w:r>
    </w:p>
    <w:p>
      <w:pPr>
        <w:spacing w:after="0" w:line="18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2013, we began upgrading our Fort Saskatchewan storage capacity as part of a multi-phase expansion. The first phase of the expansion included the addition of 2.4 million barrels of new brine pond capacity and two new NGL storage caverns each with a capacity of 350,000 barrels in 2016. In addition, we converted approximately 3 million barrels of NGL mix storage to propane, butane and condensate storage in the first half of 2017. As part of the second phase of the project, in 2017 we added 2.7 million barrels of new brine pond capacity and two new ethane caverns totaling 1.6 million barrels of capacity which are supported by long-term commitments from third parties, and we will add an additional multi-purpose cavern in 2018 which will provide 600,000 barrels of storage.</w:t>
      </w:r>
    </w:p>
    <w:p>
      <w:pPr>
        <w:spacing w:after="0" w:line="186"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Empress Area. </w:t>
      </w:r>
      <w:r>
        <w:rPr>
          <w:rFonts w:ascii="Times New Roman" w:cs="Times New Roman" w:eastAsia="Times New Roman" w:hAnsi="Times New Roman"/>
          <w:sz w:val="18"/>
          <w:szCs w:val="18"/>
          <w:color w:val="auto"/>
        </w:rPr>
        <w:t>We own a network of seven NGL terminals (Fort Whyte, Moose Jaw, Rapid City, Stewart Valley, Dewdney, Empress and Richardson)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 aggregate useable storage capacity of 4 million barrels. The facilities are complemented by various other NGL fractionation and extraction assets as described further below.</w:t>
      </w:r>
    </w:p>
    <w:p>
      <w:pPr>
        <w:spacing w:after="0" w:line="174"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Bumstead. </w:t>
      </w:r>
      <w:r>
        <w:rPr>
          <w:rFonts w:ascii="Times New Roman" w:cs="Times New Roman" w:eastAsia="Times New Roman" w:hAnsi="Times New Roman"/>
          <w:sz w:val="18"/>
          <w:szCs w:val="18"/>
          <w:color w:val="auto"/>
        </w:rPr>
        <w:t>Our Bumstead facility is located at a major rail transit point near Phoenix, Arizona. With 3 million barrels of useable capacity,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facility’s primary assets include salt-dome storage caverns, a rail track and truck racks.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Natural Gas Storage Facilities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own two U.S. Federal Energy Regulatory Commission (“FERC”) regulated natural gas storage facilities located in the Gulf Coast that are certificated for 120 Bcf of working gas capacity, and as of December 31, 2017, we had an aggregate working gas capacity of approximately 67 Bcf in service. Our facilities have aggregate certificated peak daily injection and withdrawal rates of 3.6 Bcf and 5.6 Bcf, respectively.</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and the Perryville Hub (located in North Louisiana). Our facilities have 17 interconnects with third-party interstate pipelines and gas-fired power plants, serving markets in the Gulf Coast, Mid-Atlantic, Northeast, and Southeast regions of the United States.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Natural Gas Processing Facilities</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Times New Roman" w:cs="Times New Roman" w:eastAsia="Times New Roman" w:hAnsi="Times New Roman"/>
          <w:sz w:val="17"/>
          <w:szCs w:val="17"/>
          <w:color w:val="auto"/>
        </w:rPr>
        <w:t>We own and/or operate four straddle plants and two field gas processing plants located in Western Canada. Through our August 2016 acquisition of the Empress straddle plant, we added 2.4 Bcf per day of gross NGL processing capacity with the ability to extract ethane and NGL liquids from TransCanada main lines. Cumulatively, our straddle plants have an aggregate gross natural gas processing capacity of approximately 7 Bcf per day and a long-term liquids supply contract relating to a third-party owned straddle plant with gross processing capacity of approximately 2.5 Bcf per day. We also own and operate three natural gas processing plants located in Louisiana and Alabama with an aggregate natural gas processing capacity of approximately 0.3 Bcf per day.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Fractionation and Isomerization Facilities</w:t>
      </w:r>
    </w:p>
    <w:p>
      <w:pPr>
        <w:spacing w:after="0" w:line="227"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Empress. </w:t>
      </w:r>
      <w:r>
        <w:rPr>
          <w:rFonts w:ascii="Times New Roman" w:cs="Times New Roman" w:eastAsia="Times New Roman" w:hAnsi="Times New Roman"/>
          <w:sz w:val="18"/>
          <w:szCs w:val="18"/>
          <w:color w:val="auto"/>
        </w:rPr>
        <w:t>We own the Empress fractionation facility, which is connected to and receives liquids from our Empress straddle plant and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fractionation capacity of approximately 28,000 barrels per day of propane, butane and condensate. The facility is capable of producing spec NGL products and connects to our PPTC Pipeline network.</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Fort Saskatchewan. </w:t>
      </w:r>
      <w:r>
        <w:rPr>
          <w:rFonts w:ascii="Times New Roman" w:cs="Times New Roman" w:eastAsia="Times New Roman" w:hAnsi="Times New Roman"/>
          <w:sz w:val="18"/>
          <w:szCs w:val="18"/>
          <w:color w:val="auto"/>
        </w:rPr>
        <w:t>Our recently expanded Fort Saskatchewan fractionation facility has a design capacity of 85,000 barrels per day and produces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 propane, butane, condensate and a C3/C4 mix, which is sent to our Sarnia facility for further fractionation. We are in the process of adding a merox sweetening unit that will increase our ability to handle a variety of feed streams providing more flexibility and flow assurance. This final stage of the expansion is expected to be completed in the first half of 2018 and is supported by long-term commitments from third parties. Through our 21% ownership in the Keyera Fort Saskatchewan fractionation plant, we have additional fractionation capacity, net to our share, of approximately 17,000 barrels per day.</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Sarnia. </w:t>
      </w:r>
      <w:r>
        <w:rPr>
          <w:rFonts w:ascii="Times New Roman" w:cs="Times New Roman" w:eastAsia="Times New Roman" w:hAnsi="Times New Roman"/>
          <w:sz w:val="18"/>
          <w:szCs w:val="18"/>
          <w:color w:val="auto"/>
        </w:rPr>
        <w:t>The Sarnia Fractionator is the largest fractionation plant in Eastern Canada and receives NGL feedstock from the Enbridge Pipeline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refineries, gas plants and chemical plants in the area. The fractionation unit has a net useable capacity of 90,000 barrels per day and produces specification propane, isobutane, normal butane and natural gasoline. Our ownership in the various processing units at the Sarnia Fractionator ranges from 62% to 84%.</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Shafter. </w:t>
      </w:r>
      <w:r>
        <w:rPr>
          <w:rFonts w:ascii="Times New Roman" w:cs="Times New Roman" w:eastAsia="Times New Roman" w:hAnsi="Times New Roman"/>
          <w:sz w:val="18"/>
          <w:szCs w:val="18"/>
          <w:color w:val="auto"/>
        </w:rPr>
        <w:t>Our Shafter facility located near Bakersfield, California provides isomerization and fractionation services to producers and customers.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Condensate Processing Facility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The facility has a total processing capacity of 120,000 barrels per day and useable storage capacity of 160,000 barrels. Throughput at the Gardendale processing facility is supplied by long-term commitments from producers.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Rail Facilities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Rail Loading Facilities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own crude oil and condensate rail loading facilities with a combined loading capacity of approximately 380,000 barrels per day. These facilities are located at or near Carr, Colorado; Tampa, Colorado; Gardendale, Texas; McCamey, Texas; Manitou, North Dakota; Van Hook, North Dakota; and Kerrobert, Saskatchewan.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Rail Unloading Facilities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own three crude oil rail unloading facilities that have a combined unloading capacity of approximately 350,000 barrels per day. Our St. James, Louisiana facility receives unit trains and has a capacity of 140,000 barrels per day. Our Yorktown, Virginia rail facility can receive unit trains and has an unload capacity of approximately 140,000 barrels per day. Our Bakersfield, California rail facility receives unit trains and has permitted capacity to unload 70,000 barrels per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NGL Rail Facilities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own 26 operational NGL rail facilities (including our Fort Saskatchewan rail facility, as well as facilities that can provide both crude oil and NGL service) strategically located near NGL storage, pipelines, gas production or propane distribution centers throughout the United States and Canada. Our NGL rail facilities currently have 335 railcar rack spots and 1,515 railcar storage spots, and we have the ability to switch our own railcars at ten of these terminals.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Logistics Segment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U.S. and Canadian crude oil at the wellhead, and the bulk purchase of crude oil at pipeline, terminal and rail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storage of inventory during contango market conditions and the seasonal storage of NGL and natural gas;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NGL from producers, refiners, processors and other marketers;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or exchange of crude oil and NGL at various points along the distribution chain to refiners, exporters or other resellers; and</w:t>
      </w:r>
    </w:p>
    <w:p>
      <w:pPr>
        <w:spacing w:after="0" w:line="117"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of crude oil and NGL on trucks, barges, railcars, pipelines and vessels from various delivery points, market hub locations or directly to end users such as refineries, processors and fractionation facilities.</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purchase and resale of crude oil and NGL results in us generating a margin, which is reduced by the transportation, facilities and other logistical costs associated with delivering the crude oil or NGL to market as well as related operating and general and administrative expenses. A portion of our results is impacted by overall market structure and the degree of market volatility, as well as variable operating expenses. Our activities are designed to limit downside exposure, while generating upside potential associated with opportunities inherent in volatile market conditions (including opportunities to benefit from fluctuating differentials and market structure). The opportunity to realize upside potential through our Supply and Logistics operations has been materially reduced in recent years due to high levels of competition. See “—Impact of Commodity Price Volatility and Dynamic Market Conditions on Our Business Model” below for further discussion.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hedged working inventories associated with its merchant activities, as of December 31, 2017, our Supply and Logistics segment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7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barrels of crude oil and NGL linefill in pipelines owned by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barrels of crude oil and NGL linefill in pipelines owned by third parties and other long-term inventory;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 trucks and 900 trailers;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10,100 crude oil and NGL railcars.</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average daily volume of our supply and logistics activities for the year ended December 31,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6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Volumes</w:t>
            </w:r>
          </w:p>
        </w:tc>
      </w:tr>
      <w:tr>
        <w:trPr>
          <w:trHeight w:val="195"/>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(MBbls/d)</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945</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NGL sales</w:t>
            </w:r>
          </w:p>
        </w:tc>
        <w:tc>
          <w:tcPr>
            <w:tcW w:w="1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Supply and Logistics segment total volumes</w:t>
            </w:r>
          </w:p>
        </w:tc>
        <w:tc>
          <w:tcPr>
            <w:tcW w:w="16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1,219</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Crude Oil and NGL Purchases. </w:t>
      </w:r>
      <w:r>
        <w:rPr>
          <w:rFonts w:ascii="Times New Roman" w:cs="Times New Roman" w:eastAsia="Times New Roman" w:hAnsi="Times New Roman"/>
          <w:sz w:val="18"/>
          <w:szCs w:val="18"/>
          <w:color w:val="auto"/>
        </w:rPr>
        <w:t>We purchase crude oil and NGL from multiple producers under contracts and believe that we have established long-term, broad-based relationships with the crude oil and NGL producers in our areas of operations.</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crude oil contracts generally range in term from thirty-day evergreen to five years, with the majority ranging from thirty days to one year and a limited number of contracts with remaining terms extending up to ten years. We utilize our truck fleet, railcars and pipelines as well as leased railcars, third-party pipelines, trucks and barges to transport crude oil to market. From time to time, we enter into various types of purchase and exchange transactions including fixed-price purchase contracts, collars, financial swaps and crude oil and NGL-related futures contracts as hedging devices.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utilize our trucking fleet and pipeline network, as well as leased railcars, third-party tank trucks and third-party pipelines to transport NGL.</w:t>
      </w:r>
    </w:p>
    <w:p>
      <w:pPr>
        <w:spacing w:after="0" w:line="18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addition to purchasing crude oil from producers, we purchase both domestic and foreign crude oil in bulk at major hub locations, rail and dock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8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Crude Oil and NGL Sales. </w:t>
      </w:r>
      <w:r>
        <w:rPr>
          <w:rFonts w:ascii="Times New Roman" w:cs="Times New Roman" w:eastAsia="Times New Roman" w:hAnsi="Times New Roman"/>
          <w:sz w:val="18"/>
          <w:szCs w:val="18"/>
          <w:color w:val="auto"/>
        </w:rPr>
        <w:t>The activities involved in the supply, logistics and distribution of crude oil and NGL are complex and require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typically put in place to ensure any significant cost escalations are accounted for, which may include provisions for annual price negotiations designed to ensure both the buyer and seller remain at market-based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fixed-price delivery contracts, collars, financial swaps and crude oil and NGL-related futures contracts as hedging devices.</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Crude Oil and NGL Exchanges. </w:t>
      </w:r>
      <w:r>
        <w:rPr>
          <w:rFonts w:ascii="Times New Roman" w:cs="Times New Roman" w:eastAsia="Times New Roman" w:hAnsi="Times New Roman"/>
          <w:sz w:val="18"/>
          <w:szCs w:val="18"/>
          <w:color w:val="auto"/>
        </w:rPr>
        <w:t>We pursue exchange opportunities to enhance margins throughout the gathering and marketing process.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we enter into exchanges based on the grade of crude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w:t>
      </w:r>
      <w:r>
        <w:rPr>
          <w:rFonts w:ascii="Times New Roman" w:cs="Times New Roman" w:eastAsia="Times New Roman" w:hAnsi="Times New Roman"/>
          <w:sz w:val="18"/>
          <w:szCs w:val="18"/>
          <w:color w:val="auto"/>
        </w:rPr>
        <w:t>Our merchant activities involve the purchase of crude oil and NGL for resale and require significant extensions of credit by our suppliers.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When we sell crude oil and NGL, we must determine the amount, if any, of credit to be extended to any given customer. We manage our exposure to credit risk through credit analysis, credit approvals, credit limits, prepayment, letters of credit and monitoring procedures.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84"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Because our typical sales transactions can involve large volumes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180"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Certain activities in our Supply and Logistics segment are affected by seasonal aspects, primarily with respect to NGL supply and logistics activities, which are sensitive to weather-related demand, particularly during the approximate five-month peak heating season of November through March.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Through our three business segments, we are engaged in the transportation, storage, terminalling and marketing of crude oil, NGL and natural gas.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activities are focused on crude oil, which is the principal feedstock used by refineries in the production of transportation fuels.</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2017, WTI crude oil prices traded within a range of approximately $43 to $60 per barrel. There has also been volatility within the propane and butane markets as seen through the North American benchmark price located at Mont Belvieu, Texas. Specifically, over the last ten years, propane prices have ranged from a low of approximately 40% of the WTI benchmark price for crude oil in 2015 to a high of approximately 65% of the WTI benchmark price for crude oil in 2011. During 2017, propane averaged 63% of WTI and on a daily basis traded within a range of 48% to 80% of WTI. During the same ten-year period, butane has seen a price range from a low of approximately 51% of the WTI benchmark price for crude oil in 2015 to a high of approximately 79% of the WTI benchmark price for crude oil in 2011. During 2017, butane averaged 72% of WTI and on a daily basis traded within a range of 51% to 111% of WTI.</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(absent material outperformance in our Supply and Logistics business) our fee-based Transportation and Facilities segments should comprise approximately 90% or greater of our aggregate segment results.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Results from our supply and logistics activities depend on our ability to sell crude oil and NGL at prices in excess of our aggregate cost. Although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cash flow is not materially adversely affected by the absolute level of energy prices, shifts between demand-driven markets and supply-driven markets or other similar dynamics. Beginning in the second half of 2014 to present, however, the market has experienced impacts from aggressive competition and overbuilt infrastructure in certain regions, which has caused supply and demand imbalances and price volatility. In some of the areas where we operate, there has been significantly increased competition for marginal or incremental volumes from shippers on third-party pipelines who have committed to ship more production than they have and are purchasing barrels in the market for shipment on the applicable third-party pipeline to satisfy their transportation commitments, often doing so at a loss because the loss on sale of the purchased crude oil will be less than the amount of the take-or-pay obligation on the pipeline. This type of activity has put downward pressure on margins across our three business segments. During such transitional markets, our Supply and Logistics segment may not be able to fully recover its costs on certain transactions.</w:t>
      </w:r>
    </w:p>
    <w:p>
      <w:pPr>
        <w:spacing w:after="0" w:line="193"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While recent market conditions have been challenging, we believe the complementary, integrated nature of our business activities and diversification of our asset base among varying regions and demand-driven and supply-driven markets provides flexibility for our customers and plays a valuable role in driving the growth of our fee-based Transportation and Facilities segments. Additionally, this approach is also intended to provide opportunities to realize incremental margin during volatile market conditions. While these opportunities have been reduced in recent years, the possibility for upside potential remains.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7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executing our business model, we employ a variety of financial risk management tools and techniques, predominantly in our Supply and Logistics segment. These are discussed in greater detail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 level risks inherent in our core businesses,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19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Marathon Petroleum Corporation and its subsidiaries accounted for 19%, 18% and 17% of our revenues for the years ended December 31, 2017, 2016 and 2015, respectively. ExxonMobil Corporation and its subsidiaries accounted for 11%, 14% and 13% of our revenues for the years ended December 31, 2017, 2016 and 2015, respectively. Phillips 66 Company and its subsidiaries accounted for 11% of our revenues for each of the years ended December 31, 2017 and 2016. No other customers accounted for 10% or more of our revenues during any of the three years ended December 31, 2017.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14 to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the current environment, competition for marginal or incremental volumes has been exacerbated in some areas by shippers on third-party pipelines who have committed to ship more production than they own or have secured under contract and are purchasing barrels in the market and shipping them on the applicable third-party pipeline in satisfaction of their transportation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sustainable demand levels.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9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storage facilities connected to their systems that compete with some of our facilities.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Our Business— Our operations are also subject to laws and regulations relating to protection of the environment and wildlife, operational safety, climate change and related matters that may expose us to significant costs and liabilities.”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Safety/Integrity Management</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$137 million in 2017, $89 million in 2016 and $107 million in 2015. Based on currently available information, our preliminary estimate for 2018 is that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incur approximately $63 million in capital expenditures and approximately $24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$39 million in 2017, $48 million in 2016 and $33 million in 2015, and our preliminary estimate for 2018 is that we will incur approximately $41 million of such costs.</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PHMSA was reauthorized and the HLPSA was amended in 2011 and 2016. The regulatory changes precipitated by these actions have increased our cost to operate. We anticipate that future rulemaking will have the potential to contribute to a higher cost to operate. For example, PHMSA is expected to finalize new rules in 2018 that will impose new reporting and integrity management requirements on hazardous liquids pipelines.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October 2015, the Governor of California signed the Oil Spill Response: Environmentally and Ecologically Sensitive Areas Bill (“AB-864”) which requires automatic shut offs for pipelines located in environmentally sensitive areas. Efforts to draft and implement regulations to adopt the provisions of AB-864 continue and are expected to be finalized in the first half of 2018. We anticipate that the regulations promulgated in response to AB-864 will have a material impact on our pipeline operations in California.</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DOT has generally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$37 million, $29 million and $33 million in 2017, 2016 and 2015, respectively. For 2018, we have budgeted approximately $56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Canada, the NEB and provincial agencies regulate the safety and integrity management of pipelines and storage tanks used for hydrocarbon transmission. We have incurred and will continue to incur costs related to such regulatory requirements.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Pipeline Safety Act, SC 2015, c. 21 (the “Pipeline Safety Act” or the “Act”) became effective in June 2016, amending the National Energy Board Act and the Canada Oil and Gas Operations Act in order to strengthen the safety and security of pipelines regulated under those acts. It reinforces the “polluter pays” principle, such that operators of pipelines are liable for costs and damages for all unintended or uncontrolled releases of oil, gas, or other substances. The Act introduces absolute liability for costs and damages up to $1 billion from an uncontrolled release of oil, gas or other commodity from a major pipeline (i.e. those with capacity over 250,000 barrels per day). Additionally, operators will be required to maintain the financial resources necessary to meet the applicable absolute liability obligations imposed under the Act. The total transportation capacity of our pipelines regulated by the NEB exceeds 250,000 barrels per day, so information about financial resources we have available to respond to a pipeline release was filed with the NEB. Finally, the NEB imposes requirements with respect to abandoned pipelines, including an obligation to maintain adequate funds to pay for abandonment costs.</w:t>
      </w:r>
    </w:p>
    <w:p>
      <w:pPr>
        <w:spacing w:after="0" w:line="18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to required activities, our Canadian integrity management program includes several voluntary, multi-year initiatives designed to prevent incidents. Costs incurred for all integrity management activities were approximately $57 million, $56 million and $66 million in 2017, 2016 and 2015, respectively, and our preliminary estimate for 2018 is that we will incur approximately $72 million of such costs.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121" w:right="2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8980"/>
        <w:spacing w:after="0"/>
        <w:rPr>
          <w:sz w:val="20"/>
          <w:szCs w:val="20"/>
          <w:color w:val="auto"/>
        </w:rPr>
      </w:pPr>
      <w:r>
        <w:rPr>
          <w:rFonts w:ascii="Times New Roman" w:cs="Times New Roman" w:eastAsia="Times New Roman" w:hAnsi="Times New Roman"/>
          <w:sz w:val="18"/>
          <w:szCs w:val="18"/>
          <w:b w:val="1"/>
          <w:bCs w:val="1"/>
          <w:i w:val="1"/>
          <w:iCs w:val="1"/>
          <w:color w:val="auto"/>
        </w:rPr>
        <w:t>Occupational Safety and Health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 Waste</w:t>
      </w:r>
    </w:p>
    <w:p>
      <w:pPr>
        <w:spacing w:after="0" w:line="229"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 under RCRA may be revisited and our wastes subject to more rigorous and costly disposal requirements, resulting in additional capital expenditures or operating expenses. For example, pursuant to a settlement agreement with environmental organizations, the EPA must determine by 2019 whether currently exempt oil and gas wastes should be regulated under RCRA’s hazardous waste provisions.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Hazardous Substances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 Environmental Protection Agency’s (“EPA”)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However, the EPA has since published a rule delaying implementation of the RMP revisions until February 2019 while the agency considers whether to amend or repeal the rule. OSHA has announced that it is considering similar revisions to the PSM rule, but, to date, has not issued a Notice of Proposed Rulemaking. The potential for revisions to either the RMP or PSM rule is uncertain at this time.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currently own or lease, and in the past have owned or leased, properties where hazardous liquids, including hydrocarbons, are or have been handled. These properties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Assets we have acquired or will acquire in the future may have environmental remediation liabilities for which we are not indemnified. We have in the past experienced and in the future may experience releases of crude oil into the environment from our pipeline and storage operations. We may also discover environmental impacts from past releases that were previously unidentified.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 Emissions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United States operations are subject to the United States Clean Air Act (“Clean Air Act”), comparable state laws and associated state and federal regulations. In October 2015, the EPA promulgated a revised national ambient air standard for ozone. The revised standard may make air permits for sources of volatile organic compounds (such as crude oil tank farms) more difficult to obtain in some areas. In addition, in June 2016, the EPA finalized rules regarding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control requirements. Our Canadian operations are also subject to federal and provincial air emission regulations.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Initiatives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EPA has adopted rules for the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EPA finalized regulations affecting new, modified and reconstructed sources of air emissions in the oil and natural gas sector that require significant reductions in fugitive methane emissions from certain upstream and midstream oil and gas facilities. These new rules also require operators to implement fugitive emission leak detection and repair requirements for compressor stations. However, over the past year the EPA has taken several steps to delay implementation of its methane rules, and the agency proposed a rulemaking in June 2017 to stay the requirements for a period of two years and revisit implementation of the methane rules in their entirety. The EPA has not yet published a final rule but, as a result of these developments, future implementation of the 2016 rules is uncertain at this time. However, several states have either proposed or finalized similar regulations related to the reduction of methane emissions from the oil and natural gas sector.</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Star Gas Liquids facility in Shafter, California because it is a significant combustion source. As a result, compliance instruments for GHG emissions have been purchased since 2013.</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The compliance requirements of the GHG cap-and-trade program through 2020 are being phased in.</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Executive Order B-30-15 was signed by California’s Governor in mid-year 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While it is not possible at this time to predict how federal or state governments may choose to regulate GHG emissions, any new regulatory restrictions on GHG emissions could result in material increased compliance costs, additional operating restrictions and an increase in the cost of feedstock and products produced by our refinery customers.</w:t>
      </w:r>
    </w:p>
    <w:p>
      <w:pPr>
        <w:spacing w:after="0" w:line="17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In December 2015, the Paris Agreement was signed at the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and Canada are currently signatories to the Agreement; however, in June 2017, President Trump stated that the United States would withdraw from the Paris Agreement, but may enter into a future international agreement related to GHGs. In August 2017, the U.S. State Department officially informed the United Nations of the intent of the United States to withdraw from the Paris Agreement. The United States’ adherence to the exit process is uncertain and/or the terms on which the United States may reenter the Paris Agreement or a separately negotiated agreement are unclear at this time. This Agreement is likely to become a significant driver for future potential GHG reduction programs in participating countries. Notwithstanding potential risks related to climate change, the International Energy Agency estimates that global energy demand will continue to rise and will not peak until after 2040 and that oil and gas will continue to represent a substantial percentage of global energy use over that time.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20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7"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Along with 194 other countries, Canada is a signatory to the UNFCCC “Durban Platform” committing it to develop a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agreement to reduce GHG emissions by 2020. Since 2004, large emitters of GHG were required to report their emissions under the Canadian Greenhouse Gas Emissions Reporting Program. Three PMC facilities meet the current 50 thousand tonnes per year (“kt/y”) reporting threshold.</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Effective January 1, 2018, the federal Department of Environment and Climate Change lowered the reporting threshold for all facilities from 50 kt/y to 10 kt/y. This may result in up to four additional PMC facilities (for a total of seven) being required to prepare annual reports of their emissions; however, the associated costs with this requirement would not be material.</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October 2016, the Government of Canada implemented a pan-Canadian approach to pricing carbon pollution requiring all Canadian provinces and territories to have carbon pricing in place by 2018. The provinces and territories will have flexibility in deciding how they implement carbon pricing either by placing a direct price on carbon pollution or adopting a cap-and-trade system. The price on carbon pollution will start at $10/tonne in 2018 and rise by $10 a year to reach $50/tonne in 2022.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More recently, in May 2017, the federal Department of Environment and Climate Change proposed regulations designed to reduce methane emissions by up to 45% by 2025 (from 2012 levels) from oil and natural gas facilities. The scope and requirements of the proposed rule are similar to the EPA methane rules described above.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Provincial Regulations</w:t>
      </w:r>
    </w:p>
    <w:p>
      <w:pPr>
        <w:spacing w:after="0" w:line="227"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Ontario</w:t>
      </w:r>
      <w:r>
        <w:rPr>
          <w:rFonts w:ascii="Times New Roman" w:cs="Times New Roman" w:eastAsia="Times New Roman" w:hAnsi="Times New Roman"/>
          <w:sz w:val="18"/>
          <w:szCs w:val="18"/>
          <w:color w:val="auto"/>
        </w:rPr>
        <w:t>. In February 2015, the Ontario Ministry of Environment and Climate Change issued a discussion paper that identified carbon pricing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action necessary to reduce emissions of greenhouse gases. In April 2015, the Ontario government announced it would be implementing a GHG cap and trade program, which would be implemented through the Western Climate Initiative (WCI), which includes Quebec and California. Mandatory participants for the program were responsible for their emissions starting on January 1, 2017. PMC’s facility at Sarnia is considered to be a mandatory participant in the program (threshold &gt;25,000 tonnes GHG emissions). At this time, we do not believe that participation in Ontario’s cap and trade program will have a material adverse effect on our operations.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Alberta. </w:t>
      </w:r>
      <w:r>
        <w:rPr>
          <w:rFonts w:ascii="Times New Roman" w:cs="Times New Roman" w:eastAsia="Times New Roman" w:hAnsi="Times New Roman"/>
          <w:sz w:val="18"/>
          <w:szCs w:val="18"/>
          <w:color w:val="auto"/>
        </w:rPr>
        <w:t>The Alberta Climate Change and Emissions Management Act provides a framework for managing GHG emissions by reducing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emissions to 50% of 1990 levels by December 31, 2020. The Specified Gas Emitters Regulation (“SGER”) imposed GHG emissions limits on large emitters and required reductions in GHG emissions intensity. PMC has two facilities (Fort Saskatchewan Storage and Fractionation Facility and Empress VI) which do not meet the reduction obligations. As such, PMC has been required to submit compliance payments to the Climate Change Emissions Management Fund. In January 2018, the SGER has been replaced with the Carbon Competitive Incentive Regulation (CCIR) for compliance years 2018 onwards. Although various elements of the SGER are carried through into the CCIR, the CCIR has fundamental differences both in the way a facility’s regulated emissions are calculated as well as how the emission intensity reduction is measured. Compliance options under the CCIR are similar to those under the previous SGER and significant penalties may apply for non-compliance.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for over 35 years, the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2015, the EPA published a final rule that attempted to clarify federal jurisdiction under the CWA over waters of the United States. This clarification greatly expanded the definition of “waters of the United States” thus increasing the jurisdiction of the Corps. A number of legal challenges to this rule are pending. Additionally, following the issuance of a presidential executive order to review the rule, the EPA and the Corps proposed a rulemaking in June 2017 to repeal the May 2015 rule. The EPA and Corps also announced their intent to issue a new rule defining the CWA’s jurisdiction and recently finalized a stay delaying implementation of the rule for two years. Several states and environmental organizations have already announced their intent to challenge the stay and any attempt by the EPA and the Corps to rescind or revise the rule. As a result, future implementation of the May 2015 rule is uncertain at this time. To the extent any final rule on the scope of the CWA rule expands the scope of the CWA’s jurisdiction, we could face increased costs and delays with respect to obtaining permits for dredge and fill activities in wetland areas.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Endangered Species</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Regulation</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6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Interstate Regulation in the United States. </w:t>
      </w:r>
      <w:r>
        <w:rPr>
          <w:rFonts w:ascii="Times New Roman" w:cs="Times New Roman" w:eastAsia="Times New Roman" w:hAnsi="Times New Roman"/>
          <w:sz w:val="18"/>
          <w:szCs w:val="18"/>
          <w:color w:val="auto"/>
        </w:rPr>
        <w:t>Our interstate common carrier liquids pipeline operations are subject to rate regulation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17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Regulation in the United States. </w:t>
      </w:r>
      <w:r>
        <w:rPr>
          <w:rFonts w:ascii="Times New Roman" w:cs="Times New Roman" w:eastAsia="Times New Roman" w:hAnsi="Times New Roman"/>
          <w:sz w:val="18"/>
          <w:szCs w:val="18"/>
          <w:color w:val="auto"/>
        </w:rPr>
        <w:t>Our intrastate liquids pipeline transportation activities are subject to various state laws and regulations,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17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Energy Policy Act of 1992 and Subsequent Developments. </w:t>
      </w:r>
      <w:r>
        <w:rPr>
          <w:rFonts w:ascii="Times New Roman" w:cs="Times New Roman" w:eastAsia="Times New Roman" w:hAnsi="Times New Roman"/>
          <w:sz w:val="18"/>
          <w:szCs w:val="18"/>
          <w:color w:val="auto"/>
        </w:rPr>
        <w:t>In October 1992, Congress passed the Energy Policy Act of 1992 (“EPAct”),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9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Pipeline Rate Regulation in the United States</w:t>
      </w:r>
      <w:r>
        <w:rPr>
          <w:rFonts w:ascii="Times New Roman" w:cs="Times New Roman" w:eastAsia="Times New Roman" w:hAnsi="Times New Roman"/>
          <w:sz w:val="18"/>
          <w:szCs w:val="18"/>
          <w:color w:val="auto"/>
        </w:rPr>
        <w:t>. The FERC historically has not investigated rates of liquids pipelines on its own initiative when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Parties submitted comments in response to this notice, and FERC could, after review of those comments, decide to propose changes to its current policy.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Canadian Regulation. </w:t>
      </w:r>
      <w:r>
        <w:rPr>
          <w:rFonts w:ascii="Times New Roman" w:cs="Times New Roman" w:eastAsia="Times New Roman" w:hAnsi="Times New Roman"/>
          <w:sz w:val="18"/>
          <w:szCs w:val="18"/>
          <w:color w:val="auto"/>
        </w:rPr>
        <w:t>Our Canadian pipeline assets are subject to regulation by the NEB and by provincial authorities. With respect to a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Trucking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trucking operations.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Railcar Regulation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May 2015, PHMSA adopted a final rule that, among other things, imposes a new tank car design standard, a phase out by as early as January 2018 for older DOT-111 tank cars that are not retrofitted, and a classification and testing program for unrefined petroleum based products, including crude oil. The rule also includes new operational requirements such as speed restrictions. In December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the permitted vapor pressure limits.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Border Regulation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Anti-Manipulation Regulation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 million per violation per day (adjusted annually for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$1.1 million (adjusted annually for inflation) or triple the monetary gain to the person for each violation.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Storage Regulation</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6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 report annual numbers and volumes of relevant transactions to the FERC. Our natural gas storage facilities and related marketing entities are subject to these annual reporting requirements.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$1.2 million per day for each violation (adjusted annually for inflation). FERC also has the authority to order disgorgement of profits from transactions deemed to violate the NGA and the EPAct 2005.</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2016, PHMSA issued an interim final rule (“IFR”) that establishes minimum federal standards for salt dome underground natural gas storage facilities. The IFR imposes new requirements on “downhole facilities,” including wells, wellbore tubing and casings at underground natural gas storage facilities. The IFR addresses construction, maintenance, risk management and integrity management procedures for these facilities and includes registration and reporting obligations. The IFR adopts and incorporates by reference the requirements and recommendations contained in American Petroleum Institute (“API”) Recommended Practice 1170. Existing salt dome underground natural gas storage facilities must meet the appropriate requirements and mandatory recommendations of API 1170 by January 18, 2018. However, PHMSA issued a partial stay of the IFR’s requirements in June 2017. A final rule is expected in 2018. We do not anticipate that compliance with the final rule will have a significant adverse effect on our operations.</w:t>
      </w:r>
    </w:p>
    <w:p>
      <w:pPr>
        <w:spacing w:after="0" w:line="18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Hazards and Insurance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or the Transportation Safety Administration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88"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 and Rights-of-Way</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real property holdings generally consist of: (i) parcels of land that we own in fee, (ii) surface leases and underground storage leases and</w:t>
      </w:r>
    </w:p>
    <w:p>
      <w:pPr>
        <w:spacing w:after="0" w:line="27" w:lineRule="exact"/>
        <w:rPr>
          <w:sz w:val="20"/>
          <w:szCs w:val="20"/>
          <w:color w:val="auto"/>
        </w:rPr>
      </w:pPr>
    </w:p>
    <w:p>
      <w:pPr>
        <w:ind w:right="40" w:firstLine="8"/>
        <w:spacing w:after="0" w:line="252"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 restrictions or encumbrances. Except for challenges that we do not regard as material relative to our overall operations,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revocation by the licensor or grantor and possible relocation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Labor Relations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To carry out our operations, our general partner or its affiliates (including PMC) employed approximately 4,850 employees at December 31, 2017. Of these employees, 158 are covered by four separate collective agreements, all of which expire in 2019. Our general partner and its affiliates consider employee relations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Tax Considerations</w:t>
      </w:r>
    </w:p>
    <w:p>
      <w:pPr>
        <w:spacing w:after="0" w:line="227"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of the unitholder’s investment in us. Further, it is the responsibility of each unitholder to file all U.S. federal, state and local tax returns that may be required of the unitholder. Also see Item 1A. “Risk Factors—Tax Risks to Common Unitholders.”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 Cash Distributions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income tax expenses as a result of our restructuring of how we hold our Canadian investment on January 1, 2011. Unitholders may be eligible for foreign tax credits with respect to allocable Canadian withholding and income taxes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Allocations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Common Units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distributions (including deemed distributions due to a decrease in the unitholder’s share of our nonrecourse liabilities), and the amount of any excess business interest allocated to the unitholder.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Partnership Losses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Common Units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Common Units by Tax-Exempt Organizations and Certain Other Investors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generally subject to federal income tax withholding at the highest applicable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make available, free of charge on our Internet website at </w:t>
      </w:r>
      <w:r>
        <w:rPr>
          <w:rFonts w:ascii="Times New Roman" w:cs="Times New Roman" w:eastAsia="Times New Roman" w:hAnsi="Times New Roman"/>
          <w:sz w:val="18"/>
          <w:szCs w:val="18"/>
          <w:i w:val="1"/>
          <w:iCs w:val="1"/>
          <w:color w:val="auto"/>
        </w:rPr>
        <w:t>http://www.plainsallamerican.com</w:t>
      </w:r>
      <w:r>
        <w:rPr>
          <w:rFonts w:ascii="Times New Roman" w:cs="Times New Roman" w:eastAsia="Times New Roman" w:hAnsi="Times New Roman"/>
          <w:sz w:val="18"/>
          <w:szCs w:val="18"/>
          <w:color w:val="auto"/>
        </w:rPr>
        <w:t xml:space="preserve">, our annual report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public may read and copy any materials filed by PAA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depends on the volume of crude oil, natural gas and NGL shipped, processed, purchased, stored, fractionated and/or gathered at or through the use of our facilities, which can be negatively impacted by a variety of factors outside of our control.</w:t>
      </w:r>
    </w:p>
    <w:p>
      <w:pPr>
        <w:spacing w:after="0" w:line="15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Our profitability could be materially impacted by a decline in the volume of crude oil, natural gas and NGL transported, gathered, stored or processed at or through our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or otherwise, could result in a decline in the volume of crude oil, natural gas or NGL handled by our facilities.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latter half of 2014 and continuing into 2016, benchmark crude oil prices declined significantly; as a result, many of the companies that produce oil and gas significantly reduced capital expenditures. Such reduced expenditure levels, coupled with high decline rates for many horizontal wells in the shale resource plays, led to production declines in many areas in the Lower 48 United States (excluding Gulf of Mexico production). Other factors that could adversely impact production include reduced capital market access, increased capital raising costs for producers or adverse governmental or regulatory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action. In turn, such developments could lead to reduced throughput on our pipelines and at our other facilities, which, depending on the level of production declines, could have a material adverse effect on our business.</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Also, except with respect to some of our recently constructed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in our transportation, facilities and supply and logistics activities, and our business is subject to various risks associated with the general capacity overbuild of midstream energy infrastructure in some of the areas where we operate.</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expansion capital projects, acquisitions and joint venture activities. Some of our competitors have capital resources many times greater than ours and control greater supplies of crude oil, natural gas or NGL.</w:t>
      </w:r>
    </w:p>
    <w:p>
      <w:pPr>
        <w:spacing w:after="0" w:line="180" w:lineRule="exact"/>
        <w:rPr>
          <w:sz w:val="20"/>
          <w:szCs w:val="20"/>
          <w:color w:val="auto"/>
        </w:rPr>
      </w:pPr>
    </w:p>
    <w:p>
      <w:pPr>
        <w:ind w:right="860" w:firstLine="648"/>
        <w:spacing w:after="0" w:line="276" w:lineRule="auto"/>
        <w:rPr>
          <w:sz w:val="20"/>
          <w:szCs w:val="20"/>
          <w:color w:val="auto"/>
        </w:rPr>
      </w:pPr>
      <w:r>
        <w:rPr>
          <w:rFonts w:ascii="Times New Roman" w:cs="Times New Roman" w:eastAsia="Times New Roman" w:hAnsi="Times New Roman"/>
          <w:sz w:val="17"/>
          <w:szCs w:val="17"/>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w:t>
      </w:r>
    </w:p>
    <w:p>
      <w:pPr>
        <w:spacing w:after="0" w:line="1" w:lineRule="exact"/>
        <w:rPr>
          <w:sz w:val="20"/>
          <w:szCs w:val="20"/>
          <w:color w:val="auto"/>
        </w:rPr>
      </w:pPr>
    </w:p>
    <w:p>
      <w:pPr>
        <w:ind w:firstLine="8"/>
        <w:spacing w:after="0" w:line="251" w:lineRule="auto"/>
        <w:tabs>
          <w:tab w:leader="none" w:pos="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these areas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Current expectations for oil and gas development in many of the areas where we operate are not as robust as they were during the last few years. This adversely impacts both our existing assets and growth projects in such areas. We also face competition for incremental volumes from shippers on third-party pipelines who overcommitted relative to their actual production or committed supplies and are now purchasing barrels on the open market and shipping them on such third-party pipelines in order to satisfy their minimum commitment levels. This puts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194"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180" w:lineRule="exact"/>
        <w:rPr>
          <w:sz w:val="20"/>
          <w:szCs w:val="20"/>
          <w:color w:val="auto"/>
        </w:rPr>
      </w:pPr>
    </w:p>
    <w:p>
      <w:pPr>
        <w:ind w:right="80" w:firstLine="594"/>
        <w:spacing w:after="0" w:line="266" w:lineRule="auto"/>
        <w:rPr>
          <w:sz w:val="20"/>
          <w:szCs w:val="20"/>
          <w:color w:val="auto"/>
        </w:rPr>
      </w:pPr>
      <w:r>
        <w:rPr>
          <w:rFonts w:ascii="Times New Roman" w:cs="Times New Roman" w:eastAsia="Times New Roman" w:hAnsi="Times New Roman"/>
          <w:sz w:val="18"/>
          <w:szCs w:val="18"/>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supply and demand, which can be caused by a variety of factors outside of our control, can negatively affect our operating results.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Supply and demand for crude oil and other hydrocarbon products we handle is dependent upon a variety of factors, including price, the impact of future economic conditions, fuel conservation measures, alternative fuel adoption, governmental regulation, including climate change regulations, and technological advances in fuel economy and energy generation devices. For example, the adoption of legislation or regulatory programs to reduce emissions of greenhouse gases could increase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cost of consuming crude oil and other hydrocarbon products, thereby causing a reduction in the demand for such products. Demand also depends on the ability and willingness of shippers having access to our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184"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1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influenced by the overall forward market for crude oil, and certain market structures or the absence of pricing volatility may adversely impact our results.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Results from our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can have a positive impact on lease gathering 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agreements, these transition periods may have either an adverse or beneficial effect on our aggregate segment results. A prolonged transition from a backwardated market to a contango market, or vice versa (essentially a market that is neither in pronounced backwardation nor contango), represents the least beneficial environment for our Supply and Logistics segment.</w:t>
      </w:r>
    </w:p>
    <w:p>
      <w:pPr>
        <w:spacing w:after="0" w:line="18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natural disaster, catastrophe, terrorist attack (including eco-terrorist attacks), process safety failure or other event, including pipeline or facility accidents and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8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opposition to the development or operation of our pipelines and facilities from various groups.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may face opposition to the development or operation of our pipelines and facilities from environmental groups, landowners, tribal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Recently, activists concerned about the potential effects of climate change have directed their attention towards sources of funding for fossil-fuel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other disruptions could compromise our information and operations, and expose us to liability, which would cause our business and reputation to suffer.</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 our data centers and on our networks, including intellectual property, proprietary business information, information regarding our customers, suppliers, royalty owners and business partners, and personally identifiable information of our employees.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services, which could adversely affect our business.</w:t>
      </w:r>
    </w:p>
    <w:p>
      <w:pPr>
        <w:spacing w:after="0" w:line="18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information technology infrastructure is critical to the efficient operation of our business and essential to our ability to perform day-to-day operations. Breaches in our information technology infrastructure or physical facilities, or other disruptions, could result in damage to our assets, safety incidents, damage to the environment, potential liability or the loss of contracts, and have a material adverse effect on our operations, financial position and results of operations.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because of our strategic asset base and complementary business model, we will continue to benefit from swings in market prices and shifts in market structure during periods of volatility in the crude oil, NGL and natural gas markets. The extent to which we are able to capture that benefit, however, is subject to numerous risks and uncertainties, including whether we will be able to maintain an attractive credit rating and continue to receive open credit from our suppliers and trade counterparties. Our senior unsecured debt is currently rated as “investment grade” by Standard &amp; Poor’s and Fitch Ratings Inc. In August 2017, Moody’s Investors Service downgraded its rating of our senior unsecured debt to a level below investment grade. A further downgrade by Standard &amp; Poor’s or Fitch Ratings, Inc. to a level below our current ratings levels assigned by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Loss of our remaining investment grade credit ratings could also adversely impact our cash flows, our ability to make distributions at our current levels and the value of our outstanding equity and debt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make acquisitions that fail to perform as anticipated, our future growth may be limited.</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 involve risks that may adversely affect our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acquisition involves potential risks, including:</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from the acquired businesses or assets that is below the forecasts we used in evaluating the acquisition;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our indebtedness and working capital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timely and effectively integrate the operations of recently acquired businesses or assets;</w:t>
      </w:r>
    </w:p>
    <w:p>
      <w:pPr>
        <w:spacing w:after="0" w:line="117"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lines of business that are distinct and separate from our historical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 from the acquired businesses;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also undertaken a strategic divestiture program involving sales of non-core assets and partial sales of other assets to strategic partners. If we are unable to successfully implement our divestiture program, we may be unable to fund our capital needs or we may have to raise additional funding in the capital markets. In addition, in connection with our divestitures, we may agree to retain responsibility for certain liabilities that relate to our period of ownership, which could adversely impact our future financial performance.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continuously consider potential acquisitions and opportunities for expansion capital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our ability to achieve and maintain our target credit profile is in part dependent on our ability to consummate previously announced divestiture transactions. The closing of such transactions is not entirely within our control and depends in part on the satisfaction of closing conditions that require action or inaction by governmental authorities or others. To the extent we are unable to consummate such transactions, we may be forced to incur additional indebtedness or issue more equity than we would have otherwise preferred, which could make it harder for us to achieve our targeted credit profile.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implement or capitalize upon planned growth projects.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176" w:lineRule="exact"/>
        <w:rPr>
          <w:sz w:val="20"/>
          <w:szCs w:val="20"/>
          <w:color w:val="auto"/>
        </w:rPr>
      </w:pPr>
    </w:p>
    <w:p>
      <w:pPr>
        <w:ind w:left="980" w:right="80" w:hanging="324"/>
        <w:spacing w:after="0" w:line="313" w:lineRule="auto"/>
        <w:tabs>
          <w:tab w:leader="none" w:pos="9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30" w:lineRule="exact"/>
        <w:rPr>
          <w:rFonts w:ascii="Times New Roman" w:cs="Times New Roman" w:eastAsia="Times New Roman" w:hAnsi="Times New Roman"/>
          <w:sz w:val="17"/>
          <w:szCs w:val="17"/>
          <w:color w:val="auto"/>
        </w:rPr>
      </w:pPr>
    </w:p>
    <w:p>
      <w:pPr>
        <w:ind w:left="980" w:right="2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opposition to our planned growth projects from environmental groups, landowners, local groups and other advocates, including lawsuits or other actions designed to disrupt or delay our planned projects;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53"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construct pipelines, facilities or other assets in anticipation of market demand that dissipates or market growth that never materializes;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success of our projects may depend on the completion or success of third-party facilities over which we have no control.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uncertainties, the anticipated benefits associated with our capital projects may not be achieved or could be delayed. In turn, this could negatively impact our cash flow and our ability to make or increase cash distributions to our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our customers and other counterparties we transact within the ordinary course of our business activities.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Risks of nonpayment and nonperformance by customers or other counterparties are a significant consideration in our business and are of increased concern in the current low commodity price environment.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a number of minimum volume commitment contracts that support pipelines in our Transportation segment.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231F20"/>
        </w:rPr>
        <w:t>We also rely to a significant degree on the banks that lend to us under our revolving credit facility for financial liquidity, and any failure of those banks to perform on their obligations to us could significantly impair our liquidity. Furthermore, nonpayment by the counterparties to our interest rate, commodity and/or foreign currency derivatives could expose us to additional interest rate, commodity price and/or foreign currency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policies cannot eliminate all risks. In addition, any non-compliance with our risk policies could result in significant financial losses.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refined products and NGL, up</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predefined limits and authorizations. Although this activity is monitored independently by our risk management function, it exposes us to commodity price risks within these limits.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For example, the adoption of legislation or regulatory programs to reduce emissions of greenhouse gases (such as carbon dioxide and methane), including cap and trade programs, could require us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In addition, criminal violations of certain environmental laws, or in some cases even the allegation of criminal violations, may result in the temporary suspension or outright debarment from participating in government contracts.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Any such change or interpretation adverse to us could have a material adverse effect on our operations, revenues, expenses and profitability.</w:t>
      </w:r>
    </w:p>
    <w:p>
      <w:pPr>
        <w:spacing w:after="0" w:line="19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a history of incremental additions to the miles of pipelines we own, both through acquisitions and expansion capital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are at risk for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18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currently devote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We have also developed and implemented certain pipeline integrity measures that we believe go beyond regulatory mandates. See Items 1 and 2 “Business and Properties—Regulation.”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For 2018 and beyond, we will continue to focus on pipeline integrity management as a primary operational emphasis. In that regard, we have implemented programs intended to maintain the integrity of our assets, with a continued focus on risk reduction through testing, enhanced corrosion control, leak detection, and damage prevention. We have an internal review process pursuant to which we examine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17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9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U.S. interstate common carrier liquids pipelines are subject to regulation by the FERC under the ICA. The ICA requires that tariff rates and terms and conditions of service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our U.S. interstate common carrier liquids pipelines subject to FERC regulation under the ICA, shippers may protest our pipeline tariff filings or file complaints against our existing rates or complaints alleging that we are engaging in discriminating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other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operations cross the U.S./Canada border and are subject to cross-border regulation.</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purchases and sales of crude oil, natural gas and NGL, and hedging activities, expose us to potential regulatory risks.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common carrier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1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17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enacted on July 21, 2010, established federal oversight and regulation of derivative markets and entities, such as us,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8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a requirement to post additional cash margin or collateral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Finally, the Dodd-Frank Act was intended, in part, to reduce the volatility of oil and gas prices, which some legislators attributed to speculative trading in derivatives and commodity instruments related to oil and gas. Our financial results could be adversely affected if a consequence of the Dodd-Frank Act and implementing regulations is lower commodity prices.</w:t>
      </w:r>
    </w:p>
    <w:p>
      <w:pPr>
        <w:spacing w:after="0" w:line="17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full impact of the Dodd-Frank Act and related regulatory requirements upon our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Dodd-Frank Act and regulations implementing the Dodd-Frank Act, our results of operations may become more volatile and our cash flows may be less predictable. Any of these consequences could have a material adverse effect on us, our financial condition and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and regulatory initiatives relating to hydraulic fracturing could reduce domestic production of crude oil and natural gas.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 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our transportation, terminalling and storage services as well as our supply and logistics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encounter increased costs related to, and lack of availability of, insurance.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Over the last several years, as the scale and scope of our business activities has expanded, the breadth and depth of available insurance markets has contracted. As a result of these factors and other market conditions, as well as the fact that we have experienced several incidents over the last 3 to 5 years,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5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2017, the face value of our consolidated debt outstanding was approximately $10.0 billion, consisting of approximately $9.3 billion face value of long-term debt (including senior notes and long-term commercial paper and credit facility borrowings) and approximately $0.7 billion of short-term borrowings. As of December 31, 2017, we had approximately $3.0 billion of liquidity available, including cash and cash equivalents and available borrowing capacity under our senior unsecured revolving credit facility, our senior secured hedged inventory facility and our senior unsecured 364-day credit facility, subject to continued covenant compliance. Lower Adjusted EBITDA could increase our leverage ratios and effectively reduce our ability to incur additional indebtedness.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our current or future indebtedness could have significant effects on our operations, including, among other things:</w:t>
      </w:r>
    </w:p>
    <w:p>
      <w:pPr>
        <w:spacing w:after="0" w:line="225" w:lineRule="exact"/>
        <w:rPr>
          <w:sz w:val="20"/>
          <w:szCs w:val="20"/>
          <w:color w:val="auto"/>
        </w:rPr>
      </w:pPr>
    </w:p>
    <w:p>
      <w:pPr>
        <w:ind w:left="980" w:right="4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 agencies may view our debt level negatively;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right="6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acquisitions and general partnership purposes may be limited;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at a competitive disadvantage relative to similar companies that have less debt;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adverse economic and industry conditions as a result of our significant debt level.</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could adversely affect our business and the trading price of our units.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2017, the face value of our consolidated debt was approximately $10.0 billion, of which approximately $9.1 billion was at fixed interest rates and approximately $0.9 billion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currency exchange rates could adversely affect our operating results.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impairment of long-term assets could reduce our earnings.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At December 31, 2017, we had approximately $14.1 billion of net property and equipment, $872 million of linefill and base gas, $2.6 billion of goodwill, $2.8 billion of investments accounted for under the equity method of accounting and $844 million of net intangible assets capitalized on our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we were to determine that any of our property and equipment, linefill and base gas, goodwill, intangibles or equity method investments was impaired, we could be required to take an immediate charge to earnings, which could adversely impact our operating results, with a corresponding reduction of partners’ capital and increase in balance sheet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leverage as measured by debt-to-total capitalization. During the year ended December 31, 2017, we recognized non-cash charges of approximately $152 million related to the write-down of certain property and equipment due to asset impairments and accelerated depreciation. See Note 5 to our Consolidated Financial Statements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Rail and marine transportation of crude oil have inherent operating risks.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use of third-party assets for certain of our operations.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Certain of our business activities require the use of third-party assets over which we may have little or no control. If at any time our access to these assets was denied, and if access to alternative assets could not be arranged, it could have an adverse effect on our business, results of operations and cash flow.</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Non-utilization of certain assets, such as our leased railcars, could significantly reduce our profitability due to fixed costs incurred to obtain the right to use such assets.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in connection with our business, we may lease or otherwise secure the right to use certain third-party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For example, in connection with our rail operations, we lease a significant number of our railcars, typically pursuant to multi-year leases that obligate us to pay the applicable lease rate without regard to utilization. If business conditions are such that a portion of our rail fleet is not utilized for any period of time due to reduced demand for the services they provide, we will still be obligated to pay the applicable fixed lease rate for such railcars. In addition, during the period of time that we are not utilizing such railcars, we will incur incremental costs associated with the cost of storing such railcars and will continue to incur costs for maintenance and upkeep. Non-utilization of our leased assets in connection with our business could have a significant negative impact on our profitability and cash flows.</w:t>
      </w:r>
    </w:p>
    <w:p>
      <w:pPr>
        <w:spacing w:after="0" w:line="18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assets have been in service for many years and require significant expenditures to maintain them. As a result, our maintenance or repair costs may increase in the future.</w:t>
      </w:r>
    </w:p>
    <w:p>
      <w:pPr>
        <w:spacing w:after="0" w:line="15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pipelines, terminals and storage assets are generally long-lived assets, and many of them have been in service for many years. The age and condition of our assets could result in increased maintenance or repair expenditures in the future. Any significant increase in these expenditures could adversely affect our results of operations, financial position or cash flows, as well as our ability to make cash distributions to our unitholders.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own all of the land on which our pipelines and facilities are located, which could result in disruptions to our operations.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We cannot guarantee that we will always be able to renew existing rights-of-way or obtain new rights-of-way on favorable terms or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184" w:lineRule="exact"/>
        <w:rPr>
          <w:sz w:val="20"/>
          <w:szCs w:val="20"/>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on the part of our storage facilities to perform as we expect them to, whether due to malfunction of equipment or facilities or realization of other operational risks;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pressure of our storage facilities (affected in varying degree, depending on the type of storage cavern, by total volume of working and base gas, and temperature);</w:t>
      </w:r>
    </w:p>
    <w:p>
      <w:pPr>
        <w:spacing w:after="0" w:line="53" w:lineRule="exact"/>
        <w:rPr>
          <w:rFonts w:ascii="Times New Roman" w:cs="Times New Roman" w:eastAsia="Times New Roman" w:hAnsi="Times New Roman"/>
          <w:sz w:val="18"/>
          <w:szCs w:val="18"/>
          <w:color w:val="auto"/>
        </w:rPr>
      </w:pPr>
    </w:p>
    <w:p>
      <w:pPr>
        <w:ind w:left="980" w:hanging="324"/>
        <w:spacing w:after="0" w:line="254"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 (ii) the timing of scheduled and unplanned maintenance or repairs, which can impact equipment availability and capacity, (iii) the schedule for and rate at which we conduct opportunistic leaching activities at our facilities in connection with the expansion of existing salt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 (v) the amount of compression capacity and other gas handling equipment that we install at our facilities to support gas wheeling, injection and withdrawal activities; and</w:t>
      </w:r>
    </w:p>
    <w:p>
      <w:pPr>
        <w:spacing w:after="0" w:line="8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operating conditions due to hurricanes, extreme weather events or conditions, and operational problems or issues with third-party pipelines, storage or production facilities.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materials in the quantity and the quality we need, and at commercially acceptable prices, our results of operations, financial condition and cash flows could be materially and adversely affected.</w:t>
      </w:r>
    </w:p>
    <w:p>
      <w:pPr>
        <w:spacing w:after="0" w:line="15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some of the materials used in our business are imported. A material increase in the import duties on the materials we rely on to construct and maintain our pipelines could make it more difficult or costly to obtain such materials and could delay completion of our infrastructure projects. A material increase in our costs of construction and maintenance or any significant delays in our ability to complete our infrastructure projects could have a material adverse effect on our financial position, results of operations and cash flows.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reimbursements due to our general partner may be substantial and will reduce our cash available for distribution to unitholders.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are not guaranteed and may fluctuate with our performance and the establishment of financial reserves.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preferred units have rights, preferences and privileges that are not held by, and are preferential to the rights of, holders of our common units.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distributions on the preferred units accrue and are cumulative, at the rate of 8% per annum with respect to our Series A preferred units and 6.125% with respect to our Series B preferred units on the original issue price.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not be able to remove our general partner even if they wish to do so.</w:t>
      </w:r>
    </w:p>
    <w:p>
      <w:pPr>
        <w:spacing w:after="0" w:line="22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our outstanding units (including units held by our general partner or its affiliates). Because AAP owns approximately 39% of our outstanding common units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0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the following provisions of our partnership agreement may discourage a person or group from attempting to remove our general partner or otherwise change our management:</w:t>
      </w:r>
    </w:p>
    <w:p>
      <w:pPr>
        <w:spacing w:after="0" w:line="162" w:lineRule="exact"/>
        <w:rPr>
          <w:sz w:val="20"/>
          <w:szCs w:val="20"/>
          <w:color w:val="auto"/>
        </w:rPr>
      </w:pPr>
    </w:p>
    <w:p>
      <w:pPr>
        <w:ind w:left="980" w:right="20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 and</w:t>
      </w:r>
    </w:p>
    <w:p>
      <w:pPr>
        <w:spacing w:after="0" w:line="68"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provisions, the price at which our common units will trade may be lower because of the absence or reduction of a takeover premium in the trading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common units without unitholder approval, which would dilute a unitholder’s existing ownership interests.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76"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unitholder’s proportionate ownership interest in the Partnership will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unit may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our Series A preferred units are convertible into common units at any time after January 28, 2018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limited call right that may require unitholders to sell their units at an undesirable time or price.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1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5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among our general partner and us or the unitholders.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conflicts may include the following:</w:t>
      </w:r>
    </w:p>
    <w:p>
      <w:pPr>
        <w:spacing w:after="0" w:line="22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partnership agreement, we reimburse the general partner for the costs of managing and for operating the partnership;</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expenditures, borrowings and reserves in any quarter may affect available cash to pay quarterly distributions to unitholders;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5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79"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18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Debt Securities</w:t>
      </w:r>
    </w:p>
    <w:p>
      <w:pPr>
        <w:spacing w:after="0" w:line="22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1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leverage is significant in relation to our partners’ capital. At December 31, 2017, the face value of our total outstanding long-term debt was approximately $9.3 billion, and the face value of our total outstanding short-term debt was approximately $0.7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ability to transfer our debt securities may be limited by the absence of an organized trading market.</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1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980" w:right="7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loan agreement, security agreement, mortgage, debt instrument or other agreement or obligation;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to make payments on the preferred units;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common unitholders for any one or more of the next four calendar quarters.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to Common Unitholders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U.S. federal income tax purposes, as well as our not being subject to a material amount of additional entity-level taxation by individual states. If the Internal Revenue Service (“IRS”) were to treat us as a corporation for federal income tax purposes or if we become subject to additional amounts of entity-level taxation for state or foreign tax purposes, it would reduce the amount of cash available to pay distributions and our debt obligations.</w:t>
      </w:r>
    </w:p>
    <w:p>
      <w:pPr>
        <w:spacing w:after="0" w:line="18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The IRS issued final regulations on January 24, 2017, that are effective January 19, 2017, that define the activities that generate qualifying income from exploration, development, mining or production, processing, refining, transportation, and marketing of minerals or natural resources within the meaning of Section 7704. These regulations are intended to provide regulatory guidance on whether income from activities with respect to minerals or natural resources is qualifying income. Based on our current operations we believe that we are treated as a partnership rather than a corporation for such purposes; however, a change in our business could cause us to be treated as a corporation for federal income tax purposes. We have not requested, and do not plan to request, a ruling from the IRS on this or any other tax matter affecting us.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Current law may change, causing us to be treated as a corporation for federal income tax purposes or otherwise subject us to additional entity-level taxation. 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on us in additional states will reduce the cash available for distribution to our unitholders. If we were treated as a corporation for federal income tax purposes, we would pay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common units.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partnership agreement provides that if a law is enacted or existing law is modified or interpreted in a manner that subjects us to taxation as a corporation or otherwise subjects us to entity-level taxation for federal income tax purposes, distribution amounts will be adjusted downward by a percentage that is based on the applicable entity-level tax rate, including both federal and state tax burdens.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159" w:lineRule="exact"/>
        <w:rPr>
          <w:sz w:val="20"/>
          <w:szCs w:val="20"/>
          <w:color w:val="auto"/>
        </w:rPr>
      </w:pPr>
    </w:p>
    <w:p>
      <w:pPr>
        <w:ind w:right="20" w:firstLine="729"/>
        <w:spacing w:after="0" w:line="256"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recommended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Although there is no current legislative proposal, a prior legislative proposal would have eliminated the qualifying income exception to the treatment of all publicly-traded partnerships as corporations upon which we rely for our treatment as a partnership for U.S. federal income tax purposes.</w:t>
      </w:r>
    </w:p>
    <w:p>
      <w:pPr>
        <w:spacing w:after="0" w:line="188" w:lineRule="exact"/>
        <w:rPr>
          <w:sz w:val="20"/>
          <w:szCs w:val="20"/>
          <w:color w:val="auto"/>
        </w:rPr>
      </w:pPr>
    </w:p>
    <w:p>
      <w:pPr>
        <w:ind w:firstLine="729"/>
        <w:spacing w:after="0" w:line="258" w:lineRule="auto"/>
        <w:rPr>
          <w:sz w:val="20"/>
          <w:szCs w:val="20"/>
          <w:color w:val="auto"/>
        </w:rPr>
      </w:pPr>
      <w:r>
        <w:rPr>
          <w:rFonts w:ascii="Times New Roman" w:cs="Times New Roman" w:eastAsia="Times New Roman" w:hAnsi="Times New Roman"/>
          <w:sz w:val="18"/>
          <w:szCs w:val="18"/>
          <w:color w:val="auto"/>
        </w:rPr>
        <w:t>However,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2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These rules are not applicable for tax years beginning on or prior to December 31, 2017.</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unitholders may be required to pay taxes on their share of our income even if they do not receive any cash distributions from us.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Taxable gain or loss on the disposition of our common units could be more or less than expected.</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8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our units, whether or not representing a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 of income and gain to such unitholder prior to the sale and from recapture items that general cannot be offset by any capital loss recognized upon the sale of units.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entities face unique tax issues from owning our common units that may result in adverse tax consequences to them.</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Further, with respect to taxable years beginning after December 31, 2017, a tax-exempt entity with more than one unrelated trade or business (including by attribution from investment in a partnership such as ours that is engaged in one or more unrelated trade or business)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common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unitholders will be subject to U.S. taxes and withholding with respect to their income and gain from owning our units.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Tax Cuts and Jobs Act imposes a withholding obligation of 10% of the amount realized upon a Non-U.S. unitholder’s sale or exchange of an interest in a partnership that is engaged in a U.S. trade or business. However, due to challenges of administering a withholding obligation applicable to open market trading and other complications, the IRS has temporarily suspended the application of this withholding rule to open market transfers of interest in publicly traded partnerships pending promulgation of regulations or other guidance that resolves the challenges. It is not clear if or when such regulations or other guidance will be issued. Non-U.S. unitholders should consult a tax advisor before investing in our common units.</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treat each purchaser of our common units as having the same tax benefits without regard to the actual units purchased. The IRS may challenge this treatment, which could adversely affect the value of our common units.</w:t>
      </w:r>
    </w:p>
    <w:p>
      <w:pPr>
        <w:spacing w:after="0" w:line="159"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U.S. federal income taxes, our unitholders will likely be subject to other taxes, including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applicable.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60"/>
          </w:cols>
          <w:pgMar w:left="240" w:top="121" w:right="29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59" w:lineRule="exact"/>
        <w:rPr>
          <w:sz w:val="20"/>
          <w:szCs w:val="20"/>
          <w:color w:val="auto"/>
        </w:rPr>
      </w:pPr>
    </w:p>
    <w:p>
      <w:pPr>
        <w:ind w:right="100" w:firstLine="729"/>
        <w:spacing w:after="0" w:line="261"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unitholder whose common units are the subject of a securities loan (e.g., a loan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spacing w:after="0" w:line="17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Because there are no specific rules governing the federal income tax consequences of loaning a partnership interest, a unitholder whose common units are the subject of a securities loan may be considered as having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depreciation and amortization of capital additions, gain or loss realized on a sale or other disposition of our assets and,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Taxable income from our non-U.S. businesses is not eligible for the 20% deduction for qualified publicly traded partnership income.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Tax Cuts and Jobs Acts, a unitholder is generally allowed to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21" w:right="2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to Series B Preferred Unitholders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Treatment of distributions on our Series B Preferred Units as guaranteed payments for the use of capital creates a different tax treatment for the holders of our Series B Preferred Units than the holders of our common units and such distributions may not be eligible for the 20% deduction for qualified publicly traded partnership income.</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Although a holder of Series B Preferred Units could recognize taxable income from the accrual of such a guaranteed payment even in the absence of a contemporaneous distribution, we anticipate accruing and making the guaranteed payment distributions semi-annually on May 15th and November 15th through November 15th, 2022 commencing November 15, 2017, and after November 15, 2022 quarterly on February 15th, May 15th, August 15th and November 15th.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its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19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Although we expect that a substantial portion of the income we earn is generally eligible for the 20% deduction for qualified publicly traded partnership income, it is uncertain whether a guaranteed payment for the use of capital would, for these purposes, constitute an allocable or distributive share of such income. As a result, the guaranteed payment for use of capital received by our Series B Preferred Units may not be eligible for the 20% deduction for qualified publicly traded partnership income.</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not generally be allocated a share of our items of depreciation, depletion or amortization, it is not anticipated that such holders would be required to recharacterize any portion of their gain as ordinary income as a result of the recapture rules.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not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The treatment of guaranteed payments for the use of capital to tax exempt investors is not certain and such payments may be treated as unrelated business taxable income for federal income tax purposes.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holders of our Series B Preferred Units are urged to consult a tax advisor with respect to the consequences of owning our Series B Preferred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information required by this item is included in Note 17 to our Consolidated Financial Statements, and is incorporated herein by reference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jc w:val="center"/>
        <w:ind w:right="852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20"/>
          </w:cols>
          <w:pgMar w:left="240" w:top="121" w:right="7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Units, Related Unitholder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Dividends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common units are listed and traded on the New York Stock Exchange under the symbol “PAA.” As of February 12, 2018, the closing market price for our common units was $22.06 per unit and there were approximately 123,500 record holders and beneficial owners (held in street name). As of February 12, 2018, there were 725,206,904 common units outstanding.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high and low sales prices for our common units and the cash distributions declared per common unit:</w:t>
      </w:r>
    </w:p>
    <w:p>
      <w:pPr>
        <w:spacing w:after="0" w:line="381"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Common Unit</w:t>
      </w:r>
    </w:p>
    <w:p>
      <w:pPr>
        <w:jc w:val="center"/>
        <w:ind w:left="5200"/>
        <w:spacing w:after="0" w:line="209" w:lineRule="auto"/>
        <w:rPr>
          <w:sz w:val="20"/>
          <w:szCs w:val="20"/>
          <w:color w:val="auto"/>
        </w:rPr>
      </w:pPr>
      <w:r>
        <w:rPr>
          <w:rFonts w:ascii="Times New Roman" w:cs="Times New Roman" w:eastAsia="Times New Roman" w:hAnsi="Times New Roman"/>
          <w:sz w:val="14"/>
          <w:szCs w:val="14"/>
          <w:b w:val="1"/>
          <w:bCs w:val="1"/>
          <w:color w:val="auto"/>
        </w:rPr>
        <w:t>Price Range</w:t>
      </w:r>
    </w:p>
    <w:tbl>
      <w:tblPr>
        <w:tblLayout w:type="fixed"/>
        <w:tblInd w:w="0" w:type="dxa"/>
        <w:tblCellMar>
          <w:top w:w="0" w:type="dxa"/>
          <w:left w:w="0" w:type="dxa"/>
          <w:bottom w:w="0" w:type="dxa"/>
          <w:right w:w="0" w:type="dxa"/>
        </w:tblCellMar>
      </w:tblPr>
      <w:tr>
        <w:trPr>
          <w:trHeight w:val="48"/>
        </w:trPr>
        <w:tc>
          <w:tcPr>
            <w:tcW w:w="67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vMerge w:val="restart"/>
          </w:tcPr>
          <w:p>
            <w:pPr>
              <w:jc w:val="right"/>
              <w:ind w:right="494"/>
              <w:spacing w:after="0" w:line="131"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63"/>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xml:space="preserve">Distributions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4th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2nd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3rd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1st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67" w:lineRule="exact"/>
        <w:rPr>
          <w:sz w:val="20"/>
          <w:szCs w:val="20"/>
          <w:color w:val="auto"/>
        </w:rPr>
      </w:pPr>
    </w:p>
    <w:p>
      <w:pPr>
        <w:ind w:left="660" w:right="240" w:hanging="652"/>
        <w:spacing w:after="0" w:line="218" w:lineRule="auto"/>
        <w:tabs>
          <w:tab w:leader="none" w:pos="66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Cash distributions pertaining to the quarter presented. These distributions were declared and paid in the following calendar quarter. See the “Cash Distribution Policy” section below for a discussion of our policy regarding distribution payments.</w:t>
      </w:r>
    </w:p>
    <w:p>
      <w:pPr>
        <w:spacing w:after="0" w:line="19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common units are also used as a form of compensation to our employees and PAGP GP directors. See Note 16 to our Consolidated Financial Statements for additional information regarding our equity-indexed compensation plans.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unitholder return performance of our common units with the performance of: (i) the Standard &amp; Poor’s 500 Stock Index (“S&amp;P 500”) and (ii) the Alerian MLP Index. The Alerian MLP Index is a composite of the 50 most prominent energy master limited partnerships that provides investors with a comprehensive benchmark for this asset class. The graph assumes that $100 was invested in our common units and each comparison index beginning on December 31, 2012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125730</wp:posOffset>
            </wp:positionV>
            <wp:extent cx="5848985" cy="2915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9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12/31/2012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12/31/2013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12/31/2017</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63.84</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152.59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170.84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208.14</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Alerian MLP Index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131.07</w:t>
            </w:r>
          </w:p>
        </w:tc>
      </w:tr>
      <w:tr>
        <w:trPr>
          <w:trHeight w:val="27"/>
        </w:trPr>
        <w:tc>
          <w:tcPr>
            <w:tcW w:w="4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With respect to any quarter ending on or prior to December 31, 2017, we may elect to pay distributions on our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units in additional preferred units, in cash or a combination of both. During the three months ended December 31, 2017 we issued 1,366,593 additional Series A preferred units in lieu of a cash distribution of $36 million. The issuance of the Series A preferred units, in connection with the quarterly distribution for the Series A preferred units, was exempt from the registration requirements of the Securities Act of 1933, as amended, pursuant to Section 4(a)(2) thereof. Our Series A preferred units are convertible into common units, generally on a one-for-one basis and subject to customary antidiultion adjustments and certain minimum conversion amounts, at any time after January 28, 2018. See Note 11 to our Consolidated Financial Statements for additional information regarding our Series A preferred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Simplification Transactions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See Note 1 to our Consolidated Financial Statements for further discussion of the Simplification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for future requirements to:</w:t>
      </w:r>
    </w:p>
    <w:p>
      <w:pPr>
        <w:spacing w:after="0" w:line="180" w:lineRule="exact"/>
        <w:rPr>
          <w:sz w:val="20"/>
          <w:szCs w:val="20"/>
          <w:color w:val="auto"/>
        </w:rPr>
      </w:pPr>
    </w:p>
    <w:p>
      <w:pPr>
        <w:ind w:left="980" w:right="12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loan agreement, security agreement, mortgage, debt instrument or other agreement or obligation; or</w:t>
      </w:r>
    </w:p>
    <w:p>
      <w:pPr>
        <w:spacing w:after="0" w:line="117"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our Series A and Series B preferred unitholders or distributions to our common unitholders for any one or more of the next four calendar quarters.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available cash also includes cash on hand resulting from borrowings made after the end of the quarter.</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our partnership agreement, our Series A preferred units and our Series B preferred units rank senior to all classes or series of equity securities in us with respect to distribution rights.</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Prior to the Simplification Transactions, our general partner was entitled, directly or indirectly, to receive 2% proportional distributions, as well as incentive distributions if the amount we distributed with respect to any quarter exceeded certain specified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22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below was derived from our audited Consolidated Financial Statements as of December 31, 2017, 2016, 2015, 2014 and 2013 and for the years then ended. 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20" w:type="dxa"/>
            <w:vAlign w:val="bottom"/>
            <w:gridSpan w:val="5"/>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(in millions, except per unit data and volumes)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26,223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20,182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23,152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43,464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42,249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1,153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1,262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1,799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730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906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1,386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856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726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1,384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1,361</w:t>
            </w:r>
          </w:p>
        </w:tc>
      </w:tr>
      <w:tr>
        <w:trPr>
          <w:trHeight w:val="28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 unit data: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0.96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0.78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0.95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0.43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0.77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Declared distributions per common unit </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r>
      <w:tr>
        <w:trPr>
          <w:trHeight w:val="324"/>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 (at end of period):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14,089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13,872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13,474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12,272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25,351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24,210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22,288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22,198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20,320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9,183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10,124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10,375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8,704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9,920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11,839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11,374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9,991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10,958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8,816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7,939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8,191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7,703</w:t>
            </w:r>
          </w:p>
        </w:tc>
      </w:tr>
      <w:tr>
        <w:trPr>
          <w:trHeight w:val="32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cash provided by operating activities </w:t>
            </w:r>
            <w:r>
              <w:rPr>
                <w:rFonts w:ascii="Times New Roman" w:cs="Times New Roman" w:eastAsia="Times New Roman" w:hAnsi="Times New Roman"/>
                <w:sz w:val="25"/>
                <w:szCs w:val="25"/>
                <w:color w:val="auto"/>
                <w:vertAlign w:val="superscript"/>
              </w:rPr>
              <w:t>(2)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2,499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733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1,358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1,972</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cash provided by/(used in) financing activities </w:t>
            </w:r>
            <w:r>
              <w:rPr>
                <w:rFonts w:ascii="Times New Roman" w:cs="Times New Roman" w:eastAsia="Times New Roman" w:hAnsi="Times New Roman"/>
                <w:sz w:val="25"/>
                <w:szCs w:val="25"/>
                <w:color w:val="auto"/>
                <w:vertAlign w:val="superscript"/>
              </w:rPr>
              <w:t>(2)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556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1,638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capital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289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1,099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Expansion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1,135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1,405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2,170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1,622</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r>
      <w:tr>
        <w:trPr>
          <w:trHeight w:val="81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6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Volumes </w:t>
            </w:r>
            <w:r>
              <w:rPr>
                <w:rFonts w:ascii="Times New Roman" w:cs="Times New Roman" w:eastAsia="Times New Roman" w:hAnsi="Times New Roman"/>
                <w:sz w:val="25"/>
                <w:szCs w:val="25"/>
                <w:b w:val="1"/>
                <w:bCs w:val="1"/>
                <w:color w:val="auto"/>
                <w:vertAlign w:val="superscript"/>
              </w:rPr>
              <w:t>(3) (4)</w:t>
            </w: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 segment (average daily volumes in thousands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barrels per day):</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Tariff activities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Trucking</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5,186</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4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Facilities segment: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Liquids storage (average monthly capacity in millions of</w:t>
            </w:r>
          </w:p>
        </w:tc>
        <w:tc>
          <w:tcPr>
            <w:tcW w:w="12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2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barrels)</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ind w:left="180"/>
              <w:spacing w:after="0" w:line="185" w:lineRule="exact"/>
              <w:rPr>
                <w:sz w:val="20"/>
                <w:szCs w:val="20"/>
                <w:color w:val="auto"/>
              </w:rPr>
            </w:pPr>
            <w:r>
              <w:rPr>
                <w:rFonts w:ascii="Times New Roman" w:cs="Times New Roman" w:eastAsia="Times New Roman" w:hAnsi="Times New Roman"/>
                <w:sz w:val="18"/>
                <w:szCs w:val="18"/>
                <w:color w:val="auto"/>
              </w:rPr>
              <w:t>Natural gas storage (average monthly working capacity in</w:t>
            </w:r>
          </w:p>
        </w:tc>
        <w:tc>
          <w:tcPr>
            <w:tcW w:w="12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60" w:type="dxa"/>
            <w:vAlign w:val="bottom"/>
            <w:gridSpan w:val="3"/>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billions of cubic feet)</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NGL fractionation (average volumes in thousands of barrels</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vMerge w:val="continue"/>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6"/>
                <w:szCs w:val="16"/>
                <w:color w:val="auto"/>
              </w:rPr>
            </w:pPr>
          </w:p>
        </w:tc>
        <w:tc>
          <w:tcPr>
            <w:tcW w:w="12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per day)</w:t>
            </w: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ind w:left="280"/>
              <w:spacing w:after="0" w:line="185" w:lineRule="exact"/>
              <w:rPr>
                <w:sz w:val="20"/>
                <w:szCs w:val="20"/>
                <w:color w:val="auto"/>
              </w:rPr>
            </w:pPr>
            <w:r>
              <w:rPr>
                <w:rFonts w:ascii="Times New Roman" w:cs="Times New Roman" w:eastAsia="Times New Roman" w:hAnsi="Times New Roman"/>
                <w:sz w:val="18"/>
                <w:szCs w:val="18"/>
                <w:color w:val="auto"/>
              </w:rPr>
              <w:t>Facilities segment total volumes (average monthly volumes</w:t>
            </w:r>
          </w:p>
        </w:tc>
        <w:tc>
          <w:tcPr>
            <w:tcW w:w="12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60" w:type="dxa"/>
            <w:vAlign w:val="bottom"/>
            <w:gridSpan w:val="3"/>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 millions of barrels)</w:t>
            </w:r>
          </w:p>
        </w:tc>
        <w:tc>
          <w:tcPr>
            <w:tcW w:w="12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Supply and Logistics segment (average daily volumes in</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thousands of barrels per day):</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sales</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Supply and Logistics segment total volumes</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120" w:hanging="652"/>
        <w:spacing w:after="0" w:line="218" w:lineRule="auto"/>
        <w:tabs>
          <w:tab w:leader="none" w:pos="66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cash distributions declared and paid per unit during the year presented. See Note 11 to our Consolidated Financial Statements for further discussion regarding our distributions.</w:t>
      </w:r>
    </w:p>
    <w:p>
      <w:pPr>
        <w:spacing w:after="0" w:line="91" w:lineRule="exact"/>
        <w:rPr>
          <w:rFonts w:ascii="Times New Roman" w:cs="Times New Roman" w:eastAsia="Times New Roman" w:hAnsi="Times New Roman"/>
          <w:sz w:val="25"/>
          <w:szCs w:val="25"/>
          <w:color w:val="auto"/>
          <w:vertAlign w:val="superscript"/>
        </w:rPr>
      </w:pPr>
    </w:p>
    <w:p>
      <w:pPr>
        <w:jc w:val="both"/>
        <w:ind w:left="660" w:right="320" w:hanging="652"/>
        <w:spacing w:after="0" w:line="228" w:lineRule="auto"/>
        <w:tabs>
          <w:tab w:leader="none" w:pos="66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 xml:space="preserve">Amounts for 2013 through 2016 have been retroactively restated to reflect the impact of our adoption of Accounting Standards Update 2016-09, </w:t>
      </w:r>
      <w:r>
        <w:rPr>
          <w:rFonts w:ascii="Times New Roman" w:cs="Times New Roman" w:eastAsia="Times New Roman" w:hAnsi="Times New Roman"/>
          <w:sz w:val="18"/>
          <w:szCs w:val="18"/>
          <w:i w:val="1"/>
          <w:iCs w:val="1"/>
          <w:color w:val="auto"/>
        </w:rPr>
        <w:t>Compensation—Stock Compensation (Topic 718): Improvements to Employee Share-Based Payment Accounting</w:t>
      </w:r>
      <w:r>
        <w:rPr>
          <w:rFonts w:ascii="Times New Roman" w:cs="Times New Roman" w:eastAsia="Times New Roman" w:hAnsi="Times New Roman"/>
          <w:sz w:val="18"/>
          <w:szCs w:val="18"/>
          <w:color w:val="auto"/>
        </w:rPr>
        <w:t>. See Note 2 to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36"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volumes are calculated as the total volumes (attributable to our interest) for the year divided by the number of days or months in the year.</w:t>
      </w:r>
    </w:p>
    <w:p>
      <w:pPr>
        <w:spacing w:after="0" w:line="98" w:lineRule="exact"/>
        <w:rPr>
          <w:rFonts w:ascii="Times New Roman" w:cs="Times New Roman" w:eastAsia="Times New Roman" w:hAnsi="Times New Roman"/>
          <w:sz w:val="25"/>
          <w:szCs w:val="25"/>
          <w:color w:val="auto"/>
          <w:vertAlign w:val="superscript"/>
        </w:rPr>
      </w:pPr>
    </w:p>
    <w:p>
      <w:pPr>
        <w:ind w:left="660" w:right="160" w:hanging="652"/>
        <w:spacing w:after="0" w:line="230" w:lineRule="auto"/>
        <w:tabs>
          <w:tab w:leader="none" w:pos="66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Facilities segment total is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Capital Projects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Outlook</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 Capital Investments and Other Significant Activities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crude oil market downturn over the last three years created a challenging environment for the overall midstream industry. See the “Outlook— Market Overview and Outlook” section below for further discussion. We recognized net income attributable to PAA of $856 million in 2017 as compared to net income attributable to PAA of $726 million recognized in 2016. This year-over-year increase reflects:</w:t>
      </w:r>
    </w:p>
    <w:p>
      <w:pPr>
        <w:spacing w:after="0" w:line="176" w:lineRule="exact"/>
        <w:rPr>
          <w:sz w:val="20"/>
          <w:szCs w:val="20"/>
          <w:color w:val="auto"/>
        </w:rPr>
      </w:pPr>
    </w:p>
    <w:p>
      <w:pPr>
        <w:ind w:left="980" w:right="10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from our recently completed acquisitions and capital expansion projects and favorable variances from the mark-to-market impact of certain derivative instruments, partially offset by less favorable crude oil and NGL market conditions and margin compression caused by continued competition;</w:t>
      </w:r>
    </w:p>
    <w:p>
      <w:pPr>
        <w:spacing w:after="0" w:line="176"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depreciation and amortization expense largely driven by (i) an increase in impairments, accelerated depreciation and canceled projects during the 2017 period, (ii) additional depreciation associated with acquisitions and the completion of various capital expansion projects and (iii) smaller net gains from non-core assets sales and joint venture formations recognized in the 2017 period;</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primarily related to financing activities associated with our capital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$40 million recognized in 2017 related to the early redemption of senior notes; and</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mark-to-market of our Preferred Distribution Rate Reset Option, resulting in a smaller gain recognized in 2017 compared to the gain recognized in the 2016 period.</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See further discussion of our segment operating results in the “—Results of Operations—Analysis of Operating Segments” and “—Other Income and Expenses” sections below.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invested approximately $1.1 billion in midstream infrastructure projects during 2017, which included the newly constructed Diamond and STACK extension joint venture pipelines, both of which were placed in service in late 2017, as well as capacity expansions for the Cactus I and BridgeTex pipelines. Additionally, we completed $1.3 billion of acquisitions in 2017, which primarily consisted of pipeline assets in the Permian Basin. See the “— Acquisitions and Capital Projects” section below for additional information.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fund such capital activities, we sold (i) approximately 54.1 million common units for net proceeds of approximately $1.7 billion (all of which occurred in the first four months of the year) and (ii) 800,000 newly issued Series B preferred units in October 2017 for net proceeds of $788 million. In addition, we continued to advance our divestiture program, completing non-core asset sales during 2017 for cash proceeds of approximately $1.1 billion, and progressed our Leverage Reduction Plan, as discussed below. We also paid approximately $1.4 billion of cash distributions to our common unitholders during 2017.</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Leverage Reduction Plan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August 25, 2017, we announced that we were implementing an action plan to strengthen our balance sheet, reduce leverage, enhance our distribution coverage, minimize new issuances of common equity and position the Partnership for future distribution growth. The action plan (“Leverage Reduction Plan”), which was endorsed by the PAGP GP Board, included our intent to achieve certain objectives. As of early 2018, the status of our efforts to implement our Leverage Reduction Plan is summarized below:</w:t>
      </w:r>
    </w:p>
    <w:p>
      <w:pPr>
        <w:sectPr>
          <w:pgSz w:w="11900" w:h="16838" w:orient="portrait"/>
          <w:cols w:equalWidth="0" w:num="1">
            <w:col w:w="11380"/>
          </w:cols>
          <w:pgMar w:left="240" w:top="121" w:right="279" w:bottom="1440" w:gutter="0" w:footer="0" w:header="0"/>
        </w:sectPr>
      </w:pPr>
    </w:p>
    <w:p>
      <w:pPr>
        <w:spacing w:after="0" w:line="3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Leverage Reduction Plan Objective</w:t>
      </w:r>
    </w:p>
    <w:p>
      <w:pPr>
        <w:spacing w:after="0" w:line="81" w:lineRule="exact"/>
        <w:rPr>
          <w:sz w:val="20"/>
          <w:szCs w:val="20"/>
          <w:color w:val="auto"/>
        </w:rPr>
      </w:pPr>
    </w:p>
    <w:p>
      <w:pPr>
        <w:ind w:left="60" w:right="40"/>
        <w:spacing w:after="0" w:line="261" w:lineRule="auto"/>
        <w:rPr>
          <w:sz w:val="20"/>
          <w:szCs w:val="20"/>
          <w:color w:val="auto"/>
        </w:rPr>
      </w:pPr>
      <w:r>
        <w:rPr>
          <w:rFonts w:ascii="Times New Roman" w:cs="Times New Roman" w:eastAsia="Times New Roman" w:hAnsi="Times New Roman"/>
          <w:sz w:val="18"/>
          <w:szCs w:val="18"/>
          <w:color w:val="auto"/>
        </w:rPr>
        <w:t>Reset our annualized distribution per common unit to $1.20, starting with the third-quarter distribution payable in November 2017, which would reduce annual distribution outflow by approximately $725 million per year, representing approximately $1.1 billion over 6 quarters</w:t>
      </w:r>
    </w:p>
    <w:p>
      <w:pPr>
        <w:spacing w:after="0" w:line="18" w:lineRule="exact"/>
        <w:rPr>
          <w:sz w:val="20"/>
          <w:szCs w:val="20"/>
          <w:color w:val="auto"/>
        </w:rPr>
      </w:pPr>
    </w:p>
    <w:p>
      <w:pPr>
        <w:ind w:left="60" w:right="60"/>
        <w:spacing w:after="0" w:line="282" w:lineRule="auto"/>
        <w:rPr>
          <w:sz w:val="20"/>
          <w:szCs w:val="20"/>
          <w:color w:val="auto"/>
        </w:rPr>
      </w:pPr>
      <w:r>
        <w:rPr>
          <w:rFonts w:ascii="Times New Roman" w:cs="Times New Roman" w:eastAsia="Times New Roman" w:hAnsi="Times New Roman"/>
          <w:sz w:val="18"/>
          <w:szCs w:val="18"/>
          <w:color w:val="auto"/>
        </w:rPr>
        <w:t>Complete pending and/or in-progress non-core/strategic asset sales totaling approximately $700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line="266" w:lineRule="auto"/>
        <w:rPr>
          <w:sz w:val="20"/>
          <w:szCs w:val="20"/>
          <w:color w:val="auto"/>
        </w:rPr>
      </w:pPr>
      <w:r>
        <w:rPr>
          <w:rFonts w:ascii="Times New Roman" w:cs="Times New Roman" w:eastAsia="Times New Roman" w:hAnsi="Times New Roman"/>
          <w:sz w:val="18"/>
          <w:szCs w:val="18"/>
          <w:color w:val="auto"/>
        </w:rPr>
        <w:t>Reduce our hedged crude oil and NGL inventory volumes and related debt by approximately $300 million (based on current prices) relative to June 30, 2017 levels</w:t>
      </w:r>
    </w:p>
    <w:p>
      <w:pPr>
        <w:spacing w:after="0" w:line="230" w:lineRule="exact"/>
        <w:rPr>
          <w:sz w:val="20"/>
          <w:szCs w:val="20"/>
          <w:color w:val="auto"/>
        </w:rPr>
      </w:pPr>
    </w:p>
    <w:p>
      <w:pPr>
        <w:ind w:left="60" w:right="40"/>
        <w:spacing w:after="0" w:line="266" w:lineRule="auto"/>
        <w:rPr>
          <w:sz w:val="20"/>
          <w:szCs w:val="20"/>
          <w:color w:val="auto"/>
        </w:rPr>
      </w:pPr>
      <w:r>
        <w:rPr>
          <w:rFonts w:ascii="Times New Roman" w:cs="Times New Roman" w:eastAsia="Times New Roman" w:hAnsi="Times New Roman"/>
          <w:sz w:val="18"/>
          <w:szCs w:val="18"/>
          <w:color w:val="auto"/>
        </w:rPr>
        <w:t>Fund our second-half 2017 and full-year 2018 expansion capital program with a combination of non-convertible, perpetual preferred equity (target of approximately $600 million) and asset sales proceeds</w:t>
      </w:r>
    </w:p>
    <w:p>
      <w:pPr>
        <w:spacing w:after="0" w:line="230" w:lineRule="exact"/>
        <w:rPr>
          <w:sz w:val="20"/>
          <w:szCs w:val="20"/>
          <w:color w:val="auto"/>
        </w:rPr>
      </w:pPr>
    </w:p>
    <w:p>
      <w:pPr>
        <w:ind w:left="60" w:right="240"/>
        <w:spacing w:after="0" w:line="266" w:lineRule="auto"/>
        <w:rPr>
          <w:sz w:val="20"/>
          <w:szCs w:val="20"/>
          <w:color w:val="auto"/>
        </w:rPr>
      </w:pPr>
      <w:r>
        <w:rPr>
          <w:rFonts w:ascii="Times New Roman" w:cs="Times New Roman" w:eastAsia="Times New Roman" w:hAnsi="Times New Roman"/>
          <w:sz w:val="18"/>
          <w:szCs w:val="18"/>
          <w:color w:val="auto"/>
        </w:rPr>
        <w:t>Apply retained cash flows and remaining asset sales proceeds to steadily reduce our total debt as of June 30, 2017 by approximately $1.4 billion through March 31, 2019</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36830</wp:posOffset>
            </wp:positionV>
            <wp:extent cx="7212330" cy="591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591820"/>
                    </a:xfrm>
                    <a:prstGeom prst="rect">
                      <a:avLst/>
                    </a:prstGeom>
                    <a:noFill/>
                  </pic:spPr>
                </pic:pic>
              </a:graphicData>
            </a:graphic>
          </wp:anchor>
        </w:drawing>
      </w:r>
    </w:p>
    <w:p>
      <w:pPr>
        <w:spacing w:after="0" w:line="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reduction of the Partnership’s annualized distribution per common unit to $1.20 commenced with the November 2017 distribution, resulting in an improved distribution coverage ratio</w:t>
      </w:r>
    </w:p>
    <w:p>
      <w:pPr>
        <w:spacing w:after="0" w:line="23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Since announcing the Leverage Reduction Plan in August 2017, we have closed on approximately $700 million of non-core/strategic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405765</wp:posOffset>
            </wp:positionV>
            <wp:extent cx="7212330"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December 31, 2017, we reduced our hedged inventory debt by approximately $375 million relative to June 30, 2017 levels</w:t>
      </w:r>
    </w:p>
    <w:p>
      <w:pPr>
        <w:spacing w:after="0" w:line="200" w:lineRule="exact"/>
        <w:rPr>
          <w:sz w:val="20"/>
          <w:szCs w:val="20"/>
          <w:color w:val="auto"/>
        </w:rPr>
      </w:pPr>
    </w:p>
    <w:p>
      <w:pPr>
        <w:spacing w:after="0" w:line="2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October 2017, we completed an $800 million offering ($200 million over target) of 6.125% non-convertible Series B preferred units for net proceeds of $788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140335</wp:posOffset>
            </wp:positionV>
            <wp:extent cx="7212330"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582930"/>
                    </a:xfrm>
                    <a:prstGeom prst="rect">
                      <a:avLst/>
                    </a:prstGeom>
                    <a:noFill/>
                  </pic:spPr>
                </pic:pic>
              </a:graphicData>
            </a:graphic>
          </wp:anchor>
        </w:drawing>
      </w:r>
    </w:p>
    <w:p>
      <w:pPr>
        <w:spacing w:after="0" w:line="2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December 2017, we retired two series of senior notes totaling $950 million that would otherwise have matured in 2018 and 2019</w:t>
      </w:r>
    </w:p>
    <w:p>
      <w:pPr>
        <w:spacing w:after="0" w:line="401" w:lineRule="exact"/>
        <w:rPr>
          <w:sz w:val="20"/>
          <w:szCs w:val="20"/>
          <w:color w:val="auto"/>
        </w:rPr>
      </w:pPr>
    </w:p>
    <w:p>
      <w:pPr>
        <w:sectPr>
          <w:pgSz w:w="11900" w:h="16838" w:orient="portrait"/>
          <w:cols w:equalWidth="0" w:num="2">
            <w:col w:w="5540" w:space="200"/>
            <w:col w:w="5640"/>
          </w:cols>
          <w:pgMar w:left="240" w:top="121" w:right="279" w:bottom="1440" w:gutter="0" w:footer="0" w:header="0"/>
          <w:type w:val="continuous"/>
        </w:sectPr>
      </w:pPr>
    </w:p>
    <w:p>
      <w:pPr>
        <w:spacing w:after="0" w:line="21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objectives of our Leverage Reduction Plan remaining to be achieved will be achieved, or that they will be achieved within our desired time frame or in the desired amounts. Achievement of such objectives is subject to risks and uncertainties, many of which are outside of our control. Please see “Risk Factors—Risks Related to Our Business.”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121" w:right="27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Capital Projects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completed a number of acquisitions and capital projects in 2017, 2016 and 2015 that have impacted our results of operations. The following table summarizes our expenditures for acquisition capital, expansion capital and maintenance capital for such periods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66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5"/>
                <w:szCs w:val="25"/>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1,323</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6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Expansion capital </w:t>
            </w:r>
            <w:r>
              <w:rPr>
                <w:rFonts w:ascii="Times New Roman" w:cs="Times New Roman" w:eastAsia="Times New Roman" w:hAnsi="Times New Roman"/>
                <w:sz w:val="25"/>
                <w:szCs w:val="25"/>
                <w:color w:val="auto"/>
                <w:vertAlign w:val="superscript"/>
              </w:rPr>
              <w:t>(1) (2)</w:t>
            </w:r>
          </w:p>
        </w:tc>
        <w:tc>
          <w:tcPr>
            <w:tcW w:w="90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2,170</w:t>
            </w:r>
          </w:p>
        </w:tc>
      </w:tr>
      <w:tr>
        <w:trPr>
          <w:trHeight w:val="270"/>
        </w:trPr>
        <w:tc>
          <w:tcPr>
            <w:tcW w:w="6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w:t>
            </w:r>
          </w:p>
        </w:tc>
      </w:tr>
      <w:tr>
        <w:trPr>
          <w:trHeight w:val="237"/>
        </w:trPr>
        <w:tc>
          <w:tcPr>
            <w:tcW w:w="66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2,705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2,495</w:t>
            </w:r>
          </w:p>
        </w:tc>
      </w:tr>
      <w:tr>
        <w:trPr>
          <w:trHeight w:val="27"/>
        </w:trPr>
        <w:tc>
          <w:tcPr>
            <w:tcW w:w="6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20" w:hanging="652"/>
        <w:spacing w:after="0" w:line="228" w:lineRule="auto"/>
        <w:tabs>
          <w:tab w:leader="none" w:pos="66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89" w:lineRule="exact"/>
        <w:rPr>
          <w:rFonts w:ascii="Times New Roman" w:cs="Times New Roman" w:eastAsia="Times New Roman" w:hAnsi="Times New Roman"/>
          <w:sz w:val="25"/>
          <w:szCs w:val="25"/>
          <w:color w:val="auto"/>
          <w:vertAlign w:val="superscript"/>
        </w:rPr>
      </w:pPr>
    </w:p>
    <w:p>
      <w:pPr>
        <w:jc w:val="both"/>
        <w:ind w:left="660" w:right="460" w:hanging="652"/>
        <w:spacing w:after="0" w:line="228" w:lineRule="auto"/>
        <w:tabs>
          <w:tab w:leader="none" w:pos="66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Acquisitions are financed using a combination of equity and debt, including borrowings under our commercial paper program or credit facilities and the issuance of senior notes. In addition, we use proceeds from sales of non-core assets for funding. Businesses acquired impact our results of operations commencing on the closing date of each acquisition. Our acquisition, divestiture and capital expansion activities are discussed further in “—Liquidity and Capital Resources.” Information regarding acquisitions completed in 2017, 2016 and 2015 is set forth in the table below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vMerge w:val="restart"/>
          </w:tcPr>
          <w:p>
            <w:pPr>
              <w:spacing w:after="0"/>
              <w:rPr>
                <w:sz w:val="13"/>
                <w:szCs w:val="13"/>
                <w:color w:val="auto"/>
              </w:rPr>
            </w:pPr>
          </w:p>
        </w:tc>
        <w:tc>
          <w:tcPr>
            <w:tcW w:w="17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60" w:type="dxa"/>
            <w:vAlign w:val="bottom"/>
          </w:tcPr>
          <w:p>
            <w:pPr>
              <w:spacing w:after="0"/>
              <w:rPr>
                <w:sz w:val="13"/>
                <w:szCs w:val="13"/>
                <w:color w:val="auto"/>
              </w:rPr>
            </w:pP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3"/>
                <w:szCs w:val="13"/>
                <w:color w:val="auto"/>
              </w:rPr>
            </w:pPr>
          </w:p>
        </w:tc>
        <w:tc>
          <w:tcPr>
            <w:tcW w:w="308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Operating Segment</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Alpha Crude Connector Gathering System</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February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and Facilities</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Western Canada NGL Assets</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August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and Facilities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Various</w:t>
            </w: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 Total</w:t>
            </w: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 Total</w:t>
            </w: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Various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and Facilities</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vMerge w:val="restart"/>
          </w:tcPr>
          <w:p>
            <w:pPr>
              <w:jc w:val="right"/>
              <w:ind w:right="774"/>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Capital Projects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2017 projects primarily included the construction and expansion of pipeline systems and storage and terminal facilities. The following table summarizes our 2017, 2016 and 2015 projects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676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Diamond Pipeline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7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Permian Basin Area Projects </w:t>
            </w:r>
            <w:r>
              <w:rPr>
                <w:rFonts w:ascii="Times New Roman" w:cs="Times New Roman" w:eastAsia="Times New Roman" w:hAnsi="Times New Roman"/>
                <w:sz w:val="25"/>
                <w:szCs w:val="25"/>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Fort Saskatchewan Facility Projects </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w:t>
            </w:r>
          </w:p>
        </w:tc>
      </w:tr>
      <w:tr>
        <w:trPr>
          <w:trHeight w:val="270"/>
        </w:trPr>
        <w:tc>
          <w:tcPr>
            <w:tcW w:w="67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STACK JV Projects </w:t>
            </w:r>
            <w:r>
              <w:rPr>
                <w:rFonts w:ascii="Times New Roman" w:cs="Times New Roman" w:eastAsia="Times New Roman" w:hAnsi="Times New Roman"/>
                <w:sz w:val="25"/>
                <w:szCs w:val="25"/>
                <w:color w:val="auto"/>
                <w:vertAlign w:val="superscript"/>
              </w:rPr>
              <w:t>(3)</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Cushing Terminal Expansions </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67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Eagle Ford JV Projects </w:t>
            </w:r>
            <w:r>
              <w:rPr>
                <w:rFonts w:ascii="Times New Roman" w:cs="Times New Roman" w:eastAsia="Times New Roman" w:hAnsi="Times New Roman"/>
                <w:sz w:val="25"/>
                <w:szCs w:val="25"/>
                <w:color w:val="auto"/>
                <w:vertAlign w:val="superscript"/>
              </w:rPr>
              <w:t>(2) (4)</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 James Terminal Expansions </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 River Pipeline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Cactus I Pipeline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67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Saddlehorn Pipeline </w:t>
            </w:r>
            <w:r>
              <w:rPr>
                <w:rFonts w:ascii="Times New Roman" w:cs="Times New Roman" w:eastAsia="Times New Roman" w:hAnsi="Times New Roman"/>
                <w:sz w:val="25"/>
                <w:szCs w:val="25"/>
                <w:color w:val="auto"/>
                <w:vertAlign w:val="superscript"/>
              </w:rPr>
              <w:t>(5)</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Projects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865</w:t>
            </w:r>
          </w:p>
        </w:tc>
      </w:tr>
      <w:tr>
        <w:trPr>
          <w:trHeight w:val="257"/>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contributions related to our 50% interest in Diamond Pipeline LLC.</w:t>
      </w:r>
    </w:p>
    <w:p>
      <w:pPr>
        <w:spacing w:after="0" w:line="98" w:lineRule="exact"/>
        <w:rPr>
          <w:rFonts w:ascii="Times New Roman" w:cs="Times New Roman" w:eastAsia="Times New Roman" w:hAnsi="Times New Roman"/>
          <w:sz w:val="25"/>
          <w:szCs w:val="25"/>
          <w:color w:val="auto"/>
          <w:vertAlign w:val="superscript"/>
        </w:rPr>
      </w:pPr>
    </w:p>
    <w:p>
      <w:pPr>
        <w:ind w:left="660" w:right="260" w:hanging="652"/>
        <w:spacing w:after="0" w:line="214" w:lineRule="auto"/>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These projects will continue into 2018. See “—Liquidity and Capital Resources—Acquisitions, Investments, Expansion Capital Expenditures and Divestitures —2018 Capital Projects.”</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contributions related to our 50% interest in STACK Pipeline LLC.</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contributions related to our 50% interest in Eagle Ford Pipeline and our 50% interest in Eagle Ford Terminals.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contributions related to our 40% interest in Saddlehorn Pipeline.</w:t>
      </w:r>
    </w:p>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recent expansion capital programs were primarily driven by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Substantially all of the expansion capital spent in the years presented was invested in our fee-based Transportation and Facilities segments.</w:t>
      </w:r>
    </w:p>
    <w:p>
      <w:pPr>
        <w:spacing w:after="0" w:line="180"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currently expect to spend approximately $1.4 billion for expansion capital in 2018. See “—Liquidity and Capital Resources—Acquisitions, Investments, Expansion Capital Expenditures and Divestitures —2018 Capital Projects” and “Outlook—Market Overview and Outlook”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2016, we initiated a program to evaluate potential sales of non-core assets and/or sales of partial interests in assets to strategic joint venture partners to optimize our asset portfolio and strengthen our balance sheet and leverage metrics. Information regarding non-core asset sales completed since 2016 is set forth in the table below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Operating Segment</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440" w:type="dxa"/>
            <w:vAlign w:val="bottom"/>
            <w:tcBorders>
              <w:bottom w:val="single" w:sz="8" w:color="CCEEFF"/>
            </w:tcBorders>
          </w:tcPr>
          <w:p>
            <w:pPr>
              <w:spacing w:after="0"/>
              <w:rPr>
                <w:sz w:val="16"/>
                <w:szCs w:val="16"/>
                <w:color w:val="auto"/>
              </w:rPr>
            </w:pPr>
          </w:p>
        </w:tc>
      </w:tr>
      <w:tr>
        <w:trPr>
          <w:trHeight w:val="262"/>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Total</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and Facilities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1,083</w:t>
            </w: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 Total</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and Facilities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569</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2"/>
              </w:rPr>
              <w:t>(1)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5620" w:right="3800" w:hanging="5612"/>
        <w:spacing w:after="0" w:line="721" w:lineRule="auto"/>
        <w:tabs>
          <w:tab w:leader="none" w:pos="652"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Net of amounts paid for the remaining interest in a non-core pipeline that was subsequently sold. 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84"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w:t>
      </w:r>
    </w:p>
    <w:p>
      <w:pPr>
        <w:spacing w:after="0" w:line="1" w:lineRule="exact"/>
        <w:rPr>
          <w:sz w:val="20"/>
          <w:szCs w:val="20"/>
          <w:color w:val="auto"/>
        </w:rPr>
      </w:pPr>
    </w:p>
    <w:p>
      <w:pPr>
        <w:ind w:right="40" w:firstLine="8"/>
        <w:spacing w:after="0" w:line="253" w:lineRule="auto"/>
        <w:tabs>
          <w:tab w:leader="none" w:pos="3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contingent liabilities, (v) equity-indexed compensation plan accruals, (vi) property and equipment, depreciation and amortization expense, asset retirement obligations and impairments,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18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Fair Value of Assets and Liabilities Acquired and Identification of Associated Goodwill and Intangible Assets. </w:t>
      </w:r>
      <w:r>
        <w:rPr>
          <w:rFonts w:ascii="Times New Roman" w:cs="Times New Roman" w:eastAsia="Times New Roman" w:hAnsi="Times New Roman"/>
          <w:sz w:val="18"/>
          <w:szCs w:val="18"/>
          <w:color w:val="auto"/>
        </w:rPr>
        <w:t>In accordance with FASB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With exception to acquisitions of equity method investments, we also expense the transaction costs as incurred in connection with each acquisition. In addition, we are required to recognize intangible assets separately from goodwill.</w:t>
      </w:r>
    </w:p>
    <w:p>
      <w:pPr>
        <w:spacing w:after="0" w:line="18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w:t>
      </w:r>
    </w:p>
    <w:p>
      <w:pPr>
        <w:spacing w:after="0" w:line="174"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Assessments of Goodwill and Intangible Assets. </w:t>
      </w:r>
      <w:r>
        <w:rPr>
          <w:rFonts w:ascii="Times New Roman" w:cs="Times New Roman" w:eastAsia="Times New Roman" w:hAnsi="Times New Roman"/>
          <w:sz w:val="18"/>
          <w:szCs w:val="18"/>
          <w:color w:val="auto"/>
        </w:rPr>
        <w:t>Goodwill and intangible assets with indefinite lives are not amortized but are instead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assessed for impairment. See Note 7 to our Consolidated Financial Statements for further discussion of goodwill. Intangible assets with finite lives are amortized over their estimated useful life as determined by management.</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 factors in the area and potential future sources of cash flow.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18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Derivatives. </w:t>
      </w:r>
      <w:r>
        <w:rPr>
          <w:rFonts w:ascii="Times New Roman" w:cs="Times New Roman" w:eastAsia="Times New Roman" w:hAnsi="Times New Roman"/>
          <w:sz w:val="18"/>
          <w:szCs w:val="18"/>
          <w:color w:val="auto"/>
        </w:rPr>
        <w:t>The fair value of a derivative at a particular period end does not reflect the end results of a particular transaction, and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in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187" w:lineRule="exact"/>
        <w:rPr>
          <w:sz w:val="20"/>
          <w:szCs w:val="20"/>
          <w:color w:val="auto"/>
        </w:rPr>
      </w:pPr>
    </w:p>
    <w:p>
      <w:pPr>
        <w:ind w:right="900" w:firstLine="648"/>
        <w:spacing w:after="0" w:line="266" w:lineRule="auto"/>
        <w:rPr>
          <w:sz w:val="20"/>
          <w:szCs w:val="20"/>
          <w:color w:val="auto"/>
        </w:rPr>
      </w:pPr>
      <w:r>
        <w:rPr>
          <w:rFonts w:ascii="Times New Roman" w:cs="Times New Roman" w:eastAsia="Times New Roman" w:hAnsi="Times New Roman"/>
          <w:sz w:val="18"/>
          <w:szCs w:val="18"/>
          <w:color w:val="auto"/>
        </w:rPr>
        <w:t>We also have embedded derivatives in our Series A preferred units that are recorded at fair value on our Consolidated Balance Sheets. These embedded derivatives are valued using a model that contains inputs, including our common unit price, ten-year U.S. Treasury rates, default probabilities and timing estimates, which involve management judgment.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Although the resolution of these uncertainties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spacing w:after="0" w:line="17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Accruals and Contingent Liabilities. </w:t>
      </w:r>
      <w:r>
        <w:rPr>
          <w:rFonts w:ascii="Times New Roman" w:cs="Times New Roman" w:eastAsia="Times New Roman" w:hAnsi="Times New Roman"/>
          <w:sz w:val="18"/>
          <w:szCs w:val="18"/>
          <w:color w:val="auto"/>
        </w:rPr>
        <w:t>We record accruals or liabilities for, among other things, environmental remediation, natural resource damage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9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Equity-Indexed Compensation Plan Accruals. </w:t>
      </w:r>
      <w:r>
        <w:rPr>
          <w:rFonts w:ascii="Times New Roman" w:cs="Times New Roman" w:eastAsia="Times New Roman" w:hAnsi="Times New Roman"/>
          <w:sz w:val="18"/>
          <w:szCs w:val="18"/>
          <w:color w:val="auto"/>
        </w:rPr>
        <w:t>We accrue compensation expense (referred to herein as equity-indexed compensation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future distribution levels and whether or not a performance condition will be attained. In addition, the unit price at the end of each period (and at the time of vesting) will impact the amount of compensation expense recorded in each period for certain awards. We cannot provide assurance that the actual fair value of our equity-indexed compensation awards will not vary significantly from estimated amounts.</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recognized equity-indexed compensation expense of $41 million, $60 million and $27 million in 2017, 2016 and 2015, respectively, related to awards granted under our various equity-indexed compensation plans. A hypothetical variance of 5% in our aggregate estimate for the equity-indexed compensation expense would have an impact on our total costs and expenses of less than 1%. See Note 16 to our Consolidated Financial Statements for a discussion regarding our equity-indexed compensation plans.</w:t>
      </w:r>
    </w:p>
    <w:p>
      <w:pPr>
        <w:spacing w:after="0" w:line="17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Depreciation and Amortization Expense, Asset Retirement Obligations and Impairments. </w:t>
      </w:r>
      <w:r>
        <w:rPr>
          <w:rFonts w:ascii="Times New Roman" w:cs="Times New Roman" w:eastAsia="Times New Roman" w:hAnsi="Times New Roman"/>
          <w:sz w:val="18"/>
          <w:szCs w:val="18"/>
          <w:color w:val="auto"/>
        </w:rPr>
        <w:t>We compute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80"/>
          </w:cols>
          <w:pgMar w:left="240" w:top="121" w:right="27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0"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event or circumstance that may be indicative of an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the “—Outlook— Market Overview and Outlook” section below, the downturn in the crude oil industry that started in mid-to-late 2014 has adversely impacted most companies in the midstream industry, including us. As a result of such market conditions, during 2017 and 2016, we recognized approximately $152 million and $80 million, respectively, of non-cash charges related to the write-down of certain of our long-lived rail and other terminal assets included in our Facilities segment due to asset impairments and accelerated depreciation. Despite the modest recovery in crude oil prices at the end of 2017 and early 2018, we continue to monitor appropriate indicators of potential impairment.</w:t>
      </w:r>
    </w:p>
    <w:p>
      <w:pPr>
        <w:spacing w:after="0" w:line="184"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We did not recognize any material impairment of long-lived assets during the year ended December 31, 2015. See Note 5 to our Consolidated Financial Statements for further discussion regarding impairments.</w:t>
      </w:r>
    </w:p>
    <w:p>
      <w:pPr>
        <w:spacing w:after="0" w:line="16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perform credit evaluations of our customers and grant credit based on past payment history,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2017, 2016 and 2015) and generally limited to specific customer circumstances; however, credit risks can change suddenly and without notice. See Note 2 to our Consolidated Financial Statements for additional discussion.</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Inventory Valuations. </w:t>
      </w:r>
      <w:r>
        <w:rPr>
          <w:rFonts w:ascii="Times New Roman" w:cs="Times New Roman" w:eastAsia="Times New Roman" w:hAnsi="Times New Roman"/>
          <w:sz w:val="18"/>
          <w:szCs w:val="18"/>
          <w:color w:val="auto"/>
        </w:rPr>
        <w:t>Inventory, including long-term inventory, primarily consists of crude oil, NGL and natural gas and is valued at the lower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2017, 2016 and 2015, we recorded charges of $35 million, $3 million and $117 million, respectively, related to the valuation adjustment of our crude oil, NGL and natural gas inventory due to declines in prices. See Note 4 to our Consolidated Financial Statements for further discussion regarding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See Note 2 to our Consolidated Financial Statements for information regarding the effect of recent accounting pronouncements on our Consolidated Financial Statements, including the impact of our adoption of revised employee share-based payment accounting guidance on prior period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Transportation segment adjusted EBITDA</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74"/>
        </w:trPr>
        <w:tc>
          <w:tcPr>
            <w:tcW w:w="3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vMerge w:val="continue"/>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Facilities segment adjusted EBITDA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Supply and Logistics segment adjusted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20" w:type="dxa"/>
            <w:vAlign w:val="bottom"/>
            <w:shd w:val="clear" w:color="auto" w:fill="CCEEFF"/>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Selected items impacting comparability -</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common units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717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 units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400" w:hanging="652"/>
        <w:spacing w:after="0" w:line="233" w:lineRule="auto"/>
        <w:tabs>
          <w:tab w:leader="none" w:pos="660" w:val="left"/>
        </w:tabs>
        <w:numPr>
          <w:ilvl w:val="0"/>
          <w:numId w:val="5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19 to our Consolidated Financial Statements for additional discussion of such adjustments.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 and implied distributable cash flow (“DCF”).</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Consolidated Financial Statements and footnotes.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80"/>
          </w:cols>
          <w:pgMar w:left="240" w:top="121" w:right="27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reconciliation of these non-GAAP financial performance measures from Net Income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Add/(Subtract):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5"/>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340"/>
              <w:spacing w:after="0" w:line="262" w:lineRule="exact"/>
              <w:rPr>
                <w:sz w:val="20"/>
                <w:szCs w:val="20"/>
                <w:color w:val="auto"/>
              </w:rPr>
            </w:pPr>
            <w:r>
              <w:rPr>
                <w:rFonts w:ascii="Times New Roman" w:cs="Times New Roman" w:eastAsia="Times New Roman" w:hAnsi="Times New Roman"/>
                <w:sz w:val="18"/>
                <w:szCs w:val="18"/>
                <w:color w:val="auto"/>
              </w:rPr>
              <w:t xml:space="preserve">entities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Selected Items Impacting Comparability - Adjusted</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(Gains)/losses from derivative activities net of</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500"/>
              <w:spacing w:after="0" w:line="262" w:lineRule="exact"/>
              <w:rPr>
                <w:sz w:val="20"/>
                <w:szCs w:val="20"/>
                <w:color w:val="auto"/>
              </w:rPr>
            </w:pPr>
            <w:r>
              <w:rPr>
                <w:rFonts w:ascii="Times New Roman" w:cs="Times New Roman" w:eastAsia="Times New Roman" w:hAnsi="Times New Roman"/>
                <w:sz w:val="18"/>
                <w:szCs w:val="18"/>
                <w:color w:val="auto"/>
              </w:rPr>
              <w:t xml:space="preserve">inventory valuation adjustments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500"/>
              <w:spacing w:after="0" w:line="262" w:lineRule="exact"/>
              <w:rPr>
                <w:sz w:val="20"/>
                <w:szCs w:val="20"/>
                <w:color w:val="auto"/>
              </w:rPr>
            </w:pPr>
            <w:r>
              <w:rPr>
                <w:rFonts w:ascii="Times New Roman" w:cs="Times New Roman" w:eastAsia="Times New Roman" w:hAnsi="Times New Roman"/>
                <w:sz w:val="18"/>
                <w:szCs w:val="18"/>
                <w:color w:val="auto"/>
              </w:rPr>
              <w:t xml:space="preserve">commitments, net </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5"/>
                <w:szCs w:val="25"/>
                <w:color w:val="auto"/>
                <w:vertAlign w:val="superscript"/>
              </w:rPr>
              <w:t>(6)</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5"/>
                <w:szCs w:val="25"/>
                <w:color w:val="auto"/>
                <w:vertAlign w:val="superscript"/>
              </w:rPr>
              <w:t>(7)</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Significant acquisition-related expenses </w:t>
            </w:r>
            <w:r>
              <w:rPr>
                <w:rFonts w:ascii="Times New Roman" w:cs="Times New Roman" w:eastAsia="Times New Roman" w:hAnsi="Times New Roman"/>
                <w:sz w:val="25"/>
                <w:szCs w:val="25"/>
                <w:color w:val="auto"/>
                <w:vertAlign w:val="superscript"/>
              </w:rPr>
              <w:t>(8)</w:t>
            </w:r>
          </w:p>
        </w:tc>
        <w:tc>
          <w:tcPr>
            <w:tcW w:w="22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080" w:type="dxa"/>
            <w:vAlign w:val="bottom"/>
            <w:tcBorders>
              <w:top w:val="single" w:sz="8" w:color="CCEEFF"/>
            </w:tcBorders>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Selected Items Impacting Comparability - segment</w:t>
            </w: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Gains from derivative activities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5"/>
                <w:szCs w:val="25"/>
                <w:color w:val="auto"/>
                <w:vertAlign w:val="superscript"/>
              </w:rPr>
              <w:t>(6)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on early repayment of senior</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500"/>
              <w:spacing w:after="0" w:line="262" w:lineRule="exact"/>
              <w:rPr>
                <w:sz w:val="20"/>
                <w:szCs w:val="20"/>
                <w:color w:val="auto"/>
              </w:rPr>
            </w:pPr>
            <w:r>
              <w:rPr>
                <w:rFonts w:ascii="Times New Roman" w:cs="Times New Roman" w:eastAsia="Times New Roman" w:hAnsi="Times New Roman"/>
                <w:sz w:val="18"/>
                <w:szCs w:val="18"/>
                <w:color w:val="auto"/>
              </w:rPr>
              <w:t xml:space="preserve">notes </w:t>
            </w:r>
            <w:r>
              <w:rPr>
                <w:rFonts w:ascii="Times New Roman" w:cs="Times New Roman" w:eastAsia="Times New Roman" w:hAnsi="Times New Roman"/>
                <w:sz w:val="25"/>
                <w:szCs w:val="25"/>
                <w:color w:val="auto"/>
                <w:vertAlign w:val="superscript"/>
              </w:rPr>
              <w:t>(9)</w:t>
            </w:r>
          </w:p>
        </w:tc>
        <w:tc>
          <w:tcPr>
            <w:tcW w:w="220" w:type="dxa"/>
            <w:vAlign w:val="bottom"/>
          </w:tcPr>
          <w:p>
            <w:pPr>
              <w:spacing w:after="0"/>
              <w:rPr>
                <w:sz w:val="22"/>
                <w:szCs w:val="2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080" w:type="dxa"/>
            <w:vAlign w:val="bottom"/>
            <w:tcBorders>
              <w:top w:val="single" w:sz="8" w:color="CCEEFF"/>
            </w:tcBorders>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Selected Items Impacting Comparability - Adjusted</w:t>
            </w: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80" w:type="dxa"/>
            <w:vAlign w:val="bottom"/>
            <w:shd w:val="clear" w:color="auto" w:fill="CCEEFF"/>
          </w:tcPr>
          <w:p>
            <w:pPr>
              <w:ind w:left="360"/>
              <w:spacing w:after="0" w:line="262"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(10)</w:t>
            </w: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408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5"/>
                <w:szCs w:val="25"/>
                <w:color w:val="auto"/>
                <w:vertAlign w:val="superscript"/>
              </w:rPr>
              <w:t>(10)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2,213</w:t>
            </w:r>
          </w:p>
        </w:tc>
        <w:tc>
          <w:tcPr>
            <w:tcW w:w="140" w:type="dxa"/>
            <w:vAlign w:val="bottom"/>
            <w:tcBorders>
              <w:right w:val="single" w:sz="8" w:color="auto"/>
            </w:tcBorders>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1"/>
        </w:trPr>
        <w:tc>
          <w:tcPr>
            <w:tcW w:w="4080" w:type="dxa"/>
            <w:vAlign w:val="bottom"/>
            <w:tcBorders>
              <w:top w:val="single" w:sz="8" w:color="CCEEFF"/>
            </w:tcBorders>
            <w:shd w:val="clear" w:color="auto" w:fill="CCEEFF"/>
          </w:tcPr>
          <w:p>
            <w:pPr>
              <w:ind w:left="180"/>
              <w:spacing w:after="0" w:line="251"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5"/>
                <w:szCs w:val="25"/>
                <w:color w:val="auto"/>
                <w:vertAlign w:val="superscript"/>
              </w:rPr>
              <w:t>(11)</w:t>
            </w:r>
          </w:p>
        </w:tc>
        <w:tc>
          <w:tcPr>
            <w:tcW w:w="2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Borders>
              <w:top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5"/>
                <w:szCs w:val="25"/>
                <w:color w:val="auto"/>
                <w:vertAlign w:val="superscript"/>
              </w:rPr>
              <w:t>(12)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equity earnings in unconsolidated entities,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340"/>
              <w:spacing w:after="0" w:line="262" w:lineRule="exact"/>
              <w:rPr>
                <w:sz w:val="20"/>
                <w:szCs w:val="20"/>
                <w:color w:val="auto"/>
              </w:rPr>
            </w:pPr>
            <w:r>
              <w:rPr>
                <w:rFonts w:ascii="Times New Roman" w:cs="Times New Roman" w:eastAsia="Times New Roman" w:hAnsi="Times New Roman"/>
                <w:sz w:val="18"/>
                <w:szCs w:val="18"/>
                <w:color w:val="auto"/>
              </w:rPr>
              <w:t xml:space="preserve">net of distributions </w:t>
            </w:r>
            <w:r>
              <w:rPr>
                <w:rFonts w:ascii="Times New Roman" w:cs="Times New Roman" w:eastAsia="Times New Roman" w:hAnsi="Times New Roman"/>
                <w:sz w:val="25"/>
                <w:szCs w:val="25"/>
                <w:color w:val="auto"/>
                <w:vertAlign w:val="superscript"/>
              </w:rPr>
              <w:t>(13)</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4"/>
        </w:trPr>
        <w:tc>
          <w:tcPr>
            <w:tcW w:w="408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Implied DCF </w:t>
            </w:r>
            <w:r>
              <w:rPr>
                <w:rFonts w:ascii="Times New Roman" w:cs="Times New Roman" w:eastAsia="Times New Roman" w:hAnsi="Times New Roman"/>
                <w:sz w:val="25"/>
                <w:szCs w:val="25"/>
                <w:color w:val="auto"/>
                <w:vertAlign w:val="superscript"/>
              </w:rPr>
              <w:t>(14)</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Preferred unit cash distributions </w:t>
            </w:r>
            <w:r>
              <w:rPr>
                <w:rFonts w:ascii="Times New Roman" w:cs="Times New Roman" w:eastAsia="Times New Roman" w:hAnsi="Times New Roman"/>
                <w:sz w:val="25"/>
                <w:szCs w:val="25"/>
                <w:color w:val="auto"/>
                <w:vertAlign w:val="superscript"/>
              </w:rPr>
              <w:t>(15)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General partner cash distributions </w:t>
            </w:r>
            <w:r>
              <w:rPr>
                <w:rFonts w:ascii="Times New Roman" w:cs="Times New Roman" w:eastAsia="Times New Roman" w:hAnsi="Times New Roman"/>
                <w:sz w:val="25"/>
                <w:szCs w:val="25"/>
                <w:color w:val="auto"/>
                <w:vertAlign w:val="superscript"/>
              </w:rPr>
              <w:t>(16)</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80" w:type="dxa"/>
            <w:vAlign w:val="bottom"/>
            <w:tcBorders>
              <w:top w:val="single" w:sz="8" w:color="CCEEFF"/>
            </w:tcBorders>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Implied DCF Available to Common</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tcBorders>
              <w:bottom w:val="single" w:sz="8" w:color="CCEEFF"/>
            </w:tcBorders>
          </w:tcPr>
          <w:p>
            <w:pPr>
              <w:ind w:left="180"/>
              <w:spacing w:after="0" w:line="257"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5"/>
                <w:szCs w:val="25"/>
                <w:color w:val="auto"/>
                <w:vertAlign w:val="superscript"/>
              </w:rPr>
              <w:t>(17)</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Implied DCF Excess/(Shortage) </w:t>
            </w:r>
            <w:r>
              <w:rPr>
                <w:rFonts w:ascii="Times New Roman" w:cs="Times New Roman" w:eastAsia="Times New Roman" w:hAnsi="Times New Roman"/>
                <w:sz w:val="25"/>
                <w:szCs w:val="25"/>
                <w:color w:val="auto"/>
                <w:vertAlign w:val="superscript"/>
              </w:rPr>
              <w:t>(18)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0" w:hanging="412"/>
        <w:spacing w:after="0"/>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variance as a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4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right="60" w:hanging="652"/>
        <w:spacing w:after="0" w:line="218" w:lineRule="auto"/>
        <w:tabs>
          <w:tab w:leader="none" w:pos="660" w:val="left"/>
        </w:tabs>
        <w:numPr>
          <w:ilvl w:val="0"/>
          <w:numId w:val="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Over the past several years, we have increased our participation in pipeline strategic joint ventures, which are accounted for under the equity method of accounting. We exclude our proportionate share of the depreciation and</w:t>
      </w:r>
    </w:p>
    <w:p>
      <w:pPr>
        <w:sectPr>
          <w:pgSz w:w="11900" w:h="16838" w:orient="portrait"/>
          <w:cols w:equalWidth="0" w:num="1">
            <w:col w:w="11420"/>
          </w:cols>
          <w:pgMar w:left="240" w:top="121"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right="240"/>
        <w:spacing w:after="0" w:line="329" w:lineRule="auto"/>
        <w:rPr>
          <w:sz w:val="20"/>
          <w:szCs w:val="20"/>
          <w:color w:val="auto"/>
        </w:rPr>
      </w:pPr>
      <w:r>
        <w:rPr>
          <w:rFonts w:ascii="Times New Roman" w:cs="Times New Roman" w:eastAsia="Times New Roman" w:hAnsi="Times New Roman"/>
          <w:sz w:val="18"/>
          <w:szCs w:val="18"/>
          <w:color w:val="auto"/>
        </w:rPr>
        <w:t>amortization expense and gains and losses on significant asset sales of such unconsolidated entities when reviewing Adjusted EBITDA, similar to our consolidated assets.</w:t>
      </w:r>
    </w:p>
    <w:p>
      <w:pPr>
        <w:spacing w:after="0" w:line="27" w:lineRule="exact"/>
        <w:rPr>
          <w:sz w:val="20"/>
          <w:szCs w:val="20"/>
          <w:color w:val="auto"/>
        </w:rPr>
      </w:pPr>
    </w:p>
    <w:p>
      <w:pPr>
        <w:ind w:left="660" w:right="20" w:hanging="652"/>
        <w:spacing w:after="0" w:line="242"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12 to our Consolidated Financial Statements for a comprehensive discussion regarding our derivatives and risk management activities and our Preferred Distribution Rate Reset Option.</w:t>
      </w:r>
    </w:p>
    <w:p>
      <w:pPr>
        <w:spacing w:after="0" w:line="93" w:lineRule="exact"/>
        <w:rPr>
          <w:rFonts w:ascii="Times New Roman" w:cs="Times New Roman" w:eastAsia="Times New Roman" w:hAnsi="Times New Roman"/>
          <w:sz w:val="25"/>
          <w:szCs w:val="25"/>
          <w:color w:val="auto"/>
          <w:vertAlign w:val="superscript"/>
        </w:rPr>
      </w:pPr>
    </w:p>
    <w:p>
      <w:pPr>
        <w:ind w:left="660" w:hanging="652"/>
        <w:spacing w:after="0" w:line="238"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for additional inventory disclosures.</w:t>
      </w:r>
    </w:p>
    <w:p>
      <w:pPr>
        <w:spacing w:after="0" w:line="93" w:lineRule="exact"/>
        <w:rPr>
          <w:rFonts w:ascii="Times New Roman" w:cs="Times New Roman" w:eastAsia="Times New Roman" w:hAnsi="Times New Roman"/>
          <w:sz w:val="25"/>
          <w:szCs w:val="25"/>
          <w:color w:val="auto"/>
          <w:vertAlign w:val="superscript"/>
        </w:rPr>
      </w:pPr>
    </w:p>
    <w:p>
      <w:pPr>
        <w:ind w:left="660" w:hanging="652"/>
        <w:spacing w:after="0" w:line="244"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 Amounts for years prior to 2016 were not significant.</w:t>
      </w:r>
    </w:p>
    <w:p>
      <w:pPr>
        <w:spacing w:after="0" w:line="88" w:lineRule="exact"/>
        <w:rPr>
          <w:rFonts w:ascii="Times New Roman" w:cs="Times New Roman" w:eastAsia="Times New Roman" w:hAnsi="Times New Roman"/>
          <w:sz w:val="25"/>
          <w:szCs w:val="25"/>
          <w:color w:val="auto"/>
          <w:vertAlign w:val="superscript"/>
        </w:rPr>
      </w:pPr>
    </w:p>
    <w:p>
      <w:pPr>
        <w:ind w:left="660" w:right="20" w:hanging="652"/>
        <w:spacing w:after="0"/>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for a comprehensive discussion regarding our equity-indexed compensation plans.</w:t>
      </w:r>
    </w:p>
    <w:p>
      <w:pPr>
        <w:spacing w:after="0" w:line="91" w:lineRule="exact"/>
        <w:rPr>
          <w:rFonts w:ascii="Times New Roman" w:cs="Times New Roman" w:eastAsia="Times New Roman" w:hAnsi="Times New Roman"/>
          <w:sz w:val="25"/>
          <w:szCs w:val="25"/>
          <w:color w:val="auto"/>
          <w:vertAlign w:val="superscript"/>
        </w:rPr>
      </w:pPr>
    </w:p>
    <w:p>
      <w:pPr>
        <w:ind w:left="660" w:right="80" w:hanging="652"/>
        <w:spacing w:after="0" w:line="228"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the periods presented, there were fluctuations in the value of the Canadian dollar (“CAD”) to the U.S. dollar (“USD”), resulting in gains and losses that were not related to our core operating results for the period and were thus classified as a selected item impacting comparability. See Note 12 to our Consolidated Financial Statements for discussion regarding our currency exchange rate risk hedging activities.</w:t>
      </w:r>
    </w:p>
    <w:p>
      <w:pPr>
        <w:spacing w:after="0" w:line="89" w:lineRule="exact"/>
        <w:rPr>
          <w:rFonts w:ascii="Times New Roman" w:cs="Times New Roman" w:eastAsia="Times New Roman" w:hAnsi="Times New Roman"/>
          <w:sz w:val="25"/>
          <w:szCs w:val="25"/>
          <w:color w:val="auto"/>
          <w:vertAlign w:val="superscript"/>
        </w:rPr>
      </w:pPr>
    </w:p>
    <w:p>
      <w:pPr>
        <w:ind w:left="660" w:right="240" w:hanging="652"/>
        <w:spacing w:after="0" w:line="218"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17 to our Consolidated Financial Statements for additional information regarding the Line 901 incident.</w:t>
      </w:r>
    </w:p>
    <w:p>
      <w:pPr>
        <w:spacing w:after="0" w:line="91" w:lineRule="exact"/>
        <w:rPr>
          <w:rFonts w:ascii="Times New Roman" w:cs="Times New Roman" w:eastAsia="Times New Roman" w:hAnsi="Times New Roman"/>
          <w:sz w:val="25"/>
          <w:szCs w:val="25"/>
          <w:color w:val="auto"/>
          <w:vertAlign w:val="superscript"/>
        </w:rPr>
      </w:pPr>
    </w:p>
    <w:p>
      <w:pPr>
        <w:ind w:left="660" w:right="420" w:hanging="652"/>
        <w:spacing w:after="0" w:line="218"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acquisition-related expenses associated with the ACC Acquisition. See Note 6 to our Consolidated Financial Statements for additional information.</w:t>
      </w:r>
    </w:p>
    <w:p>
      <w:pPr>
        <w:spacing w:after="0" w:line="91" w:lineRule="exact"/>
        <w:rPr>
          <w:rFonts w:ascii="Times New Roman" w:cs="Times New Roman" w:eastAsia="Times New Roman" w:hAnsi="Times New Roman"/>
          <w:sz w:val="25"/>
          <w:szCs w:val="25"/>
          <w:color w:val="auto"/>
          <w:vertAlign w:val="superscript"/>
        </w:rPr>
      </w:pPr>
    </w:p>
    <w:p>
      <w:pPr>
        <w:ind w:left="660" w:right="40" w:hanging="652"/>
        <w:spacing w:after="0" w:line="218"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net losses incurred in connection with the early redemption of our (i) $600 million, 6.50% senior notes due May 2018 and (ii) $350 million, 8.75% senior notes due May 2019. See Note 10 to our Consolidated Financial Statements for additional information.</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200" w:hanging="652"/>
        <w:spacing w:after="0" w:line="228" w:lineRule="auto"/>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Adjusted EBITDA includes Other income/(expense), net adjusted for selected items impacting comparability comprised of net gains of $1 million, $2 million and $1 million for the years ended December 31, 2017, 2016 and 2015, respectively. Segment adjusted EBITDA does not include adjusted Other income/(expense), net.</w:t>
      </w:r>
    </w:p>
    <w:p>
      <w:pPr>
        <w:spacing w:after="0" w:line="36"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98" w:lineRule="exact"/>
        <w:rPr>
          <w:rFonts w:ascii="Times New Roman" w:cs="Times New Roman" w:eastAsia="Times New Roman" w:hAnsi="Times New Roman"/>
          <w:sz w:val="25"/>
          <w:szCs w:val="25"/>
          <w:color w:val="auto"/>
          <w:vertAlign w:val="superscript"/>
        </w:rPr>
      </w:pPr>
    </w:p>
    <w:p>
      <w:pPr>
        <w:ind w:left="660" w:right="40" w:hanging="652"/>
        <w:spacing w:after="0" w:line="214" w:lineRule="auto"/>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0" w:lineRule="exact"/>
        <w:rPr>
          <w:rFonts w:ascii="Times New Roman" w:cs="Times New Roman" w:eastAsia="Times New Roman" w:hAnsi="Times New Roman"/>
          <w:sz w:val="25"/>
          <w:szCs w:val="25"/>
          <w:color w:val="auto"/>
          <w:vertAlign w:val="superscript"/>
        </w:rPr>
      </w:pPr>
    </w:p>
    <w:p>
      <w:pPr>
        <w:ind w:left="660" w:right="440" w:hanging="652"/>
        <w:spacing w:after="0" w:line="218" w:lineRule="auto"/>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difference between non-cash equity earnings in unconsolidated entities (adjusted for our proportionate share of depreciation and amortization) and cash distributions received from such entities.</w:t>
      </w:r>
    </w:p>
    <w:p>
      <w:pPr>
        <w:spacing w:after="0" w:line="91" w:lineRule="exact"/>
        <w:rPr>
          <w:rFonts w:ascii="Times New Roman" w:cs="Times New Roman" w:eastAsia="Times New Roman" w:hAnsi="Times New Roman"/>
          <w:sz w:val="25"/>
          <w:szCs w:val="25"/>
          <w:color w:val="auto"/>
          <w:vertAlign w:val="superscript"/>
        </w:rPr>
      </w:pPr>
    </w:p>
    <w:p>
      <w:pPr>
        <w:ind w:left="660" w:right="60" w:hanging="652"/>
        <w:spacing w:after="0" w:line="228" w:lineRule="auto"/>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Including net costs recognized during the period related to the Line 901 incident that occurred in May 2015, Implied DCF would have been $1,280 million and $1,391 million for the years ended December 31, 2017 and 2015, respectively. See Note 17 to our Consolidated Financial Statements for additional information regarding the Line 901 incident.</w:t>
      </w:r>
    </w:p>
    <w:p>
      <w:pPr>
        <w:spacing w:after="0" w:line="89" w:lineRule="exact"/>
        <w:rPr>
          <w:rFonts w:ascii="Times New Roman" w:cs="Times New Roman" w:eastAsia="Times New Roman" w:hAnsi="Times New Roman"/>
          <w:sz w:val="25"/>
          <w:szCs w:val="25"/>
          <w:color w:val="auto"/>
          <w:vertAlign w:val="superscript"/>
        </w:rPr>
      </w:pPr>
    </w:p>
    <w:p>
      <w:pPr>
        <w:ind w:left="660" w:right="160" w:hanging="652"/>
        <w:spacing w:after="0"/>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Cash distributions paid to our preferred unitholders during the period presented. The current $0.5250 quarterly ($2.10 annualized) per unit distribution requirement of our Series A preferred units has been paid-in-kind for each quarterly distribution since their issuance; as such, no Series A preferred unit distributions are included for any periods presented. Distributions on our Series A preferred units must be paid in cash beginning with the May 2018 quarterly distribution. The current $61.25 per unit annual distribution requirement of our Series B preferred units, which were issued in October 2017, is payable semi-annually in arrears on May 15 and November 15. A pro-rated initial distribution on the Series B preferred units was paid on November 15, 2017. See Note 11 to our Consolidated Financial Statements for additional information regarding our preferred units.</w:t>
      </w:r>
    </w:p>
    <w:p>
      <w:pPr>
        <w:spacing w:after="0" w:line="91" w:lineRule="exact"/>
        <w:rPr>
          <w:rFonts w:ascii="Times New Roman" w:cs="Times New Roman" w:eastAsia="Times New Roman" w:hAnsi="Times New Roman"/>
          <w:sz w:val="25"/>
          <w:szCs w:val="25"/>
          <w:color w:val="auto"/>
          <w:vertAlign w:val="superscript"/>
        </w:rPr>
      </w:pPr>
    </w:p>
    <w:p>
      <w:pPr>
        <w:ind w:left="660" w:right="300" w:hanging="652"/>
        <w:spacing w:after="0" w:line="218" w:lineRule="auto"/>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Simplification Transactions, which closed on November 15, 2016, simplified our governance structure and permanently eliminated our IDRs and the economic rights associated with our 2% general partner interest.</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Common unit cash distributions paid within the period presented.</w:t>
      </w:r>
    </w:p>
    <w:p>
      <w:pPr>
        <w:spacing w:after="0" w:line="98" w:lineRule="exact"/>
        <w:rPr>
          <w:rFonts w:ascii="Times New Roman" w:cs="Times New Roman" w:eastAsia="Times New Roman" w:hAnsi="Times New Roman"/>
          <w:sz w:val="25"/>
          <w:szCs w:val="25"/>
          <w:color w:val="auto"/>
          <w:vertAlign w:val="superscript"/>
        </w:rPr>
      </w:pPr>
    </w:p>
    <w:p>
      <w:pPr>
        <w:ind w:left="660" w:right="140" w:hanging="652"/>
        <w:spacing w:after="0" w:line="214" w:lineRule="auto"/>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 our core segment operating performance. See Note 19 to our Consolidated Financial Statements for a reconciliation of segment adjusted EBITDA to net income attributable to PAA.</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allocations by segment require judgment by management and may be adjusted in the future based on the business activities that exist during each period. We believe that the estimates with respect to these allocations are reasonable.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Revenues and expenses from our Canadian based subsidiaries, which use CAD as their functional currency, are translated at the prevailing average exchange rates for each month.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Segment</w:t>
      </w:r>
    </w:p>
    <w:p>
      <w:pPr>
        <w:spacing w:after="0" w:line="22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Transportation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general and administrative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4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unconsolidated entities</w:t>
            </w: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net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Significant acquisition-related expenses</w:t>
            </w: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87</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Volumes</w:t>
            </w:r>
          </w:p>
        </w:tc>
        <w:tc>
          <w:tcPr>
            <w:tcW w:w="24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380" w:type="dxa"/>
            <w:vAlign w:val="bottom"/>
            <w:gridSpan w:val="2"/>
            <w:vMerge w:val="continue"/>
          </w:tcPr>
          <w:p>
            <w:pPr>
              <w:spacing w:after="0"/>
              <w:rPr>
                <w:sz w:val="5"/>
                <w:szCs w:val="5"/>
                <w:color w:val="auto"/>
              </w:rPr>
            </w:pPr>
          </w:p>
        </w:tc>
        <w:tc>
          <w:tcPr>
            <w:tcW w:w="10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10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0" w:type="dxa"/>
            <w:vAlign w:val="bottom"/>
            <w:vMerge w:val="restart"/>
          </w:tcPr>
          <w:p>
            <w:pPr>
              <w:spacing w:after="0"/>
              <w:rPr>
                <w:sz w:val="5"/>
                <w:szCs w:val="5"/>
                <w:color w:val="auto"/>
              </w:rPr>
            </w:pPr>
          </w:p>
        </w:tc>
        <w:tc>
          <w:tcPr>
            <w:tcW w:w="420" w:type="dxa"/>
            <w:vAlign w:val="bottom"/>
            <w:vMerge w:val="restart"/>
          </w:tcPr>
          <w:p>
            <w:pPr>
              <w:spacing w:after="0"/>
              <w:rPr>
                <w:sz w:val="5"/>
                <w:szCs w:val="5"/>
                <w:color w:val="auto"/>
              </w:rPr>
            </w:pPr>
          </w:p>
        </w:tc>
        <w:tc>
          <w:tcPr>
            <w:tcW w:w="7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100" w:type="dxa"/>
            <w:vAlign w:val="bottom"/>
            <w:vMerge w:val="restart"/>
          </w:tcPr>
          <w:p>
            <w:pPr>
              <w:spacing w:after="0"/>
              <w:rPr>
                <w:sz w:val="5"/>
                <w:szCs w:val="5"/>
                <w:color w:val="auto"/>
              </w:rPr>
            </w:pPr>
          </w:p>
        </w:tc>
        <w:tc>
          <w:tcPr>
            <w:tcW w:w="420" w:type="dxa"/>
            <w:vAlign w:val="bottom"/>
            <w:vMerge w:val="restart"/>
          </w:tcPr>
          <w:p>
            <w:pPr>
              <w:spacing w:after="0"/>
              <w:rPr>
                <w:sz w:val="5"/>
                <w:szCs w:val="5"/>
                <w:color w:val="auto"/>
              </w:rPr>
            </w:pPr>
          </w:p>
        </w:tc>
        <w:tc>
          <w:tcPr>
            <w:tcW w:w="7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 thousands of barrels per day) </w:t>
            </w:r>
            <w:r>
              <w:rPr>
                <w:rFonts w:ascii="Times New Roman" w:cs="Times New Roman" w:eastAsia="Times New Roman" w:hAnsi="Times New Roman"/>
                <w:sz w:val="8"/>
                <w:szCs w:val="8"/>
                <w:b w:val="1"/>
                <w:bCs w:val="1"/>
                <w:color w:val="auto"/>
              </w:rPr>
              <w:t>(4)</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Tariff activities volumes</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Crude oil pipelines (by region):</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3380" w:type="dxa"/>
            <w:vAlign w:val="bottom"/>
            <w:gridSpan w:val="2"/>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5"/>
                <w:szCs w:val="25"/>
                <w:color w:val="auto"/>
                <w:vertAlign w:val="superscript"/>
              </w:rPr>
              <w:t>(5)</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Central </w:t>
            </w:r>
            <w:r>
              <w:rPr>
                <w:rFonts w:ascii="Times New Roman" w:cs="Times New Roman" w:eastAsia="Times New Roman" w:hAnsi="Times New Roman"/>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Gulf Coast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gridSpan w:val="2"/>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5"/>
                <w:szCs w:val="25"/>
                <w:color w:val="auto"/>
                <w:vertAlign w:val="superscript"/>
              </w:rPr>
              <w:t>(5)</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3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Western</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Crude oil pipelines</w:t>
            </w: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4,147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NGL pipelines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Tariff activities total volumes</w:t>
            </w: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4,340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Trucking volumes</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4,453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pacing w:after="0" w:line="64"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98" w:lineRule="exact"/>
        <w:rPr>
          <w:rFonts w:ascii="Times New Roman" w:cs="Times New Roman" w:eastAsia="Times New Roman" w:hAnsi="Times New Roman"/>
          <w:sz w:val="25"/>
          <w:szCs w:val="25"/>
          <w:color w:val="auto"/>
          <w:vertAlign w:val="superscript"/>
        </w:rPr>
      </w:pPr>
    </w:p>
    <w:p>
      <w:pPr>
        <w:ind w:left="660" w:right="260" w:hanging="652"/>
        <w:spacing w:after="0" w:line="224" w:lineRule="auto"/>
        <w:tabs>
          <w:tab w:leader="none" w:pos="66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91" w:lineRule="exact"/>
        <w:rPr>
          <w:rFonts w:ascii="Times New Roman" w:cs="Times New Roman" w:eastAsia="Times New Roman" w:hAnsi="Times New Roman"/>
          <w:sz w:val="24"/>
          <w:szCs w:val="24"/>
          <w:color w:val="auto"/>
          <w:vertAlign w:val="superscript"/>
        </w:rPr>
      </w:pPr>
    </w:p>
    <w:p>
      <w:pPr>
        <w:ind w:left="660" w:right="640" w:hanging="652"/>
        <w:spacing w:after="0" w:line="218" w:lineRule="auto"/>
        <w:tabs>
          <w:tab w:leader="none" w:pos="66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daily volumes are calculated as the total volumes (attributable to our interest) for the year divided by the number of days in the year.</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Region includes volumes (attributable to our interest) from pipelines owned by unconsolidated entities.</w:t>
      </w:r>
    </w:p>
    <w:p>
      <w:pPr>
        <w:spacing w:after="0" w:line="19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allowance volumes and actual losses at the estimated net realizable value (including the impact of gains and losses from derivative related activities) in the month of occurrence.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Purchases and Related Costs, Equity Earnings in Unconsolidated Entities and Volumes. </w:t>
      </w:r>
      <w:r>
        <w:rPr>
          <w:rFonts w:ascii="Times New Roman" w:cs="Times New Roman" w:eastAsia="Times New Roman" w:hAnsi="Times New Roman"/>
          <w:sz w:val="18"/>
          <w:szCs w:val="18"/>
          <w:color w:val="auto"/>
        </w:rPr>
        <w:t>The following table presents variances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purchases and related costs and equity earnings in unconsolidated entities by region for the comparative periods presented:</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8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Favorable/(Unfavorable) Variance</w:t>
            </w:r>
          </w:p>
        </w:tc>
        <w:tc>
          <w:tcPr>
            <w:tcW w:w="160" w:type="dxa"/>
            <w:vAlign w:val="bottom"/>
          </w:tcPr>
          <w:p>
            <w:pPr>
              <w:spacing w:after="0"/>
              <w:rPr>
                <w:sz w:val="13"/>
                <w:szCs w:val="13"/>
                <w:color w:val="auto"/>
              </w:rPr>
            </w:pPr>
          </w:p>
        </w:tc>
        <w:tc>
          <w:tcPr>
            <w:tcW w:w="3080" w:type="dxa"/>
            <w:vAlign w:val="bottom"/>
            <w:gridSpan w:val="6"/>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Favorable/(Unfavorable) Variance</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Purchases and</w:t>
            </w:r>
          </w:p>
        </w:tc>
        <w:tc>
          <w:tcPr>
            <w:tcW w:w="180" w:type="dxa"/>
            <w:vAlign w:val="bottom"/>
          </w:tcPr>
          <w:p>
            <w:pPr>
              <w:spacing w:after="0"/>
              <w:rPr>
                <w:sz w:val="12"/>
                <w:szCs w:val="12"/>
                <w:color w:val="auto"/>
              </w:rPr>
            </w:pPr>
          </w:p>
        </w:tc>
        <w:tc>
          <w:tcPr>
            <w:tcW w:w="10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vMerge w:val="restart"/>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Purchases and</w:t>
            </w:r>
          </w:p>
        </w:tc>
        <w:tc>
          <w:tcPr>
            <w:tcW w:w="160" w:type="dxa"/>
            <w:vAlign w:val="bottom"/>
          </w:tcPr>
          <w:p>
            <w:pPr>
              <w:spacing w:after="0"/>
              <w:rPr>
                <w:sz w:val="12"/>
                <w:szCs w:val="12"/>
                <w:color w:val="auto"/>
              </w:rPr>
            </w:pPr>
          </w:p>
        </w:tc>
        <w:tc>
          <w:tcPr>
            <w:tcW w:w="86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49"/>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Tariff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Permian Basin region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South Texas / Eagle Ford region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Central region</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Gulf Coast region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Rocky Mountain region</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(including trucking and pipeline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allowance revenue)</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variance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980" w:right="200" w:hanging="324"/>
        <w:spacing w:after="0" w:line="257" w:lineRule="auto"/>
        <w:tabs>
          <w:tab w:leader="none" w:pos="98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Permian Basin region. </w:t>
      </w:r>
      <w:r>
        <w:rPr>
          <w:rFonts w:ascii="Times New Roman" w:cs="Times New Roman" w:eastAsia="Times New Roman" w:hAnsi="Times New Roman"/>
          <w:sz w:val="18"/>
          <w:szCs w:val="18"/>
          <w:color w:val="auto"/>
        </w:rPr>
        <w:t>The increase in revenues for 2017 compared to 2016 was largely driven by (i) higher volumes on our Basin and Cactus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pipelines, which also favorably impacted volumes on our McCamey pipeline system, (ii) results from the ACC gathering system, which we acquired in February 2017, and (iii) higher volumes from increased production and new lease connections to our gathering systems in the Permian Basin. Equity earnings also increased in 2017 compared to 2016 due to higher earnings from our 50% interest in BridgeTex resulting from higher volumes in the 2017 period. These increases were partially offset by an increase in purchases and related costs for the year ended December 31, 2017 over the year ended December 31, 2016.</w:t>
      </w:r>
    </w:p>
    <w:p>
      <w:pPr>
        <w:spacing w:after="0" w:line="184" w:lineRule="exact"/>
        <w:rPr>
          <w:rFonts w:ascii="Times New Roman" w:cs="Times New Roman" w:eastAsia="Times New Roman" w:hAnsi="Times New Roman"/>
          <w:sz w:val="18"/>
          <w:szCs w:val="18"/>
          <w:i w:val="1"/>
          <w:iCs w:val="1"/>
          <w:color w:val="auto"/>
        </w:rPr>
      </w:pPr>
    </w:p>
    <w:p>
      <w:pPr>
        <w:jc w:val="both"/>
        <w:ind w:left="980" w:right="2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revenues for 2016 compared to 2015 was primarily driven by (i) higher volumes associated with the expansion of our pipeline systems in the Delaware Basin, (ii) higher volumes on our takeaway pipelines and (iii) a full year of service of our Cactus pipeline, which was placed in service in April 2015.</w:t>
      </w:r>
    </w:p>
    <w:p>
      <w:pPr>
        <w:spacing w:after="0" w:line="174" w:lineRule="exact"/>
        <w:rPr>
          <w:rFonts w:ascii="Times New Roman" w:cs="Times New Roman" w:eastAsia="Times New Roman" w:hAnsi="Times New Roman"/>
          <w:sz w:val="18"/>
          <w:szCs w:val="18"/>
          <w:i w:val="1"/>
          <w:iCs w:val="1"/>
          <w:color w:val="auto"/>
        </w:rPr>
      </w:pPr>
    </w:p>
    <w:p>
      <w:pPr>
        <w:ind w:left="980" w:right="560" w:hanging="324"/>
        <w:spacing w:after="0" w:line="284" w:lineRule="auto"/>
        <w:tabs>
          <w:tab w:leader="none" w:pos="98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South Texas / Eagle Ford region. </w:t>
      </w:r>
      <w:r>
        <w:rPr>
          <w:rFonts w:ascii="Times New Roman" w:cs="Times New Roman" w:eastAsia="Times New Roman" w:hAnsi="Times New Roman"/>
          <w:sz w:val="18"/>
          <w:szCs w:val="18"/>
          <w:color w:val="auto"/>
        </w:rPr>
        <w:t>Equity earnings from our 50% interest in Eagle Ford Pipeline LLC increased in 2017 compared to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volumes from our Cactus pipeline.</w:t>
      </w:r>
    </w:p>
    <w:p>
      <w:pPr>
        <w:spacing w:after="0" w:line="158" w:lineRule="exact"/>
        <w:rPr>
          <w:rFonts w:ascii="Times New Roman" w:cs="Times New Roman" w:eastAsia="Times New Roman" w:hAnsi="Times New Roman"/>
          <w:sz w:val="18"/>
          <w:szCs w:val="18"/>
          <w:i w:val="1"/>
          <w:iCs w:val="1"/>
          <w:color w:val="auto"/>
        </w:rPr>
      </w:pPr>
    </w:p>
    <w:p>
      <w:pPr>
        <w:ind w:left="980" w:hanging="324"/>
        <w:spacing w:after="0" w:line="259" w:lineRule="auto"/>
        <w:tabs>
          <w:tab w:leader="none" w:pos="98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Central region. </w:t>
      </w:r>
      <w:r>
        <w:rPr>
          <w:rFonts w:ascii="Times New Roman" w:cs="Times New Roman" w:eastAsia="Times New Roman" w:hAnsi="Times New Roman"/>
          <w:sz w:val="18"/>
          <w:szCs w:val="18"/>
          <w:color w:val="auto"/>
        </w:rPr>
        <w:t>Revenues for the year ended December 31, 2017 were flat compared to the year ended December 31, 2016, as increases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start-up of our Red River pipeline in December 2016 were offset by (i) lower volumes on certain pipelines due to production declines and (ii) volumes shifting to our recently formed joint venture pipelines. The decrease in revenues for 2016 compared to 2015 was largely driven by lower volumes due to production declines in the Mid-Continent area, as well as the sale of 50% of our investment in STACK in August 2016, subsequent to which it was accounted for under the equity method of accounting.</w:t>
      </w:r>
    </w:p>
    <w:p>
      <w:pPr>
        <w:spacing w:after="0" w:line="181" w:lineRule="exact"/>
        <w:rPr>
          <w:rFonts w:ascii="Times New Roman" w:cs="Times New Roman" w:eastAsia="Times New Roman" w:hAnsi="Times New Roman"/>
          <w:sz w:val="18"/>
          <w:szCs w:val="18"/>
          <w:i w:val="1"/>
          <w:iCs w:val="1"/>
          <w:color w:val="auto"/>
        </w:rPr>
      </w:pPr>
    </w:p>
    <w:p>
      <w:pPr>
        <w:ind w:left="980" w:right="1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Equity earnings increased in 2017 compared to 2016 primarily due to earnings from (i) our 50% interest in STACK, which was formed in mid-2016 and which completed extensions of the joint venture pipeline in 2017, (ii) our 50% interest in Caddo, which placed the joint venture pipeline in service in late 2016, and (iii) our 50% interest in Diamond, which placed the joint venture pipeline in service in late 2017.</w:t>
      </w:r>
    </w:p>
    <w:p>
      <w:pPr>
        <w:spacing w:after="0" w:line="174" w:lineRule="exact"/>
        <w:rPr>
          <w:rFonts w:ascii="Times New Roman" w:cs="Times New Roman" w:eastAsia="Times New Roman" w:hAnsi="Times New Roman"/>
          <w:sz w:val="18"/>
          <w:szCs w:val="18"/>
          <w:i w:val="1"/>
          <w:iCs w:val="1"/>
          <w:color w:val="auto"/>
        </w:rPr>
      </w:pPr>
    </w:p>
    <w:p>
      <w:pPr>
        <w:jc w:val="both"/>
        <w:ind w:left="980" w:right="160" w:hanging="324"/>
        <w:spacing w:after="0" w:line="261" w:lineRule="auto"/>
        <w:tabs>
          <w:tab w:leader="none" w:pos="98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Gulf Coast region. </w:t>
      </w:r>
      <w:r>
        <w:rPr>
          <w:rFonts w:ascii="Times New Roman" w:cs="Times New Roman" w:eastAsia="Times New Roman" w:hAnsi="Times New Roman"/>
          <w:sz w:val="18"/>
          <w:szCs w:val="18"/>
          <w:color w:val="auto"/>
        </w:rPr>
        <w:t>Revenues and volumes decreased for each of the comparative periods primarily due to the sale of certain of our Gulf Coast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pipelines in March and July 2016. Such decreases were partially offset during 2016 as compared to 2015 by increased volumes on the Capline and Pascagoula pipelines, which were favorably impacted by higher refinery demand, but were at lower tariff rates than the pipelines that were sold.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980" w:right="40" w:hanging="324"/>
        <w:spacing w:after="0" w:line="257" w:lineRule="auto"/>
        <w:tabs>
          <w:tab w:leader="none" w:pos="98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Rocky Mountain region. </w:t>
      </w:r>
      <w:r>
        <w:rPr>
          <w:rFonts w:ascii="Times New Roman" w:cs="Times New Roman" w:eastAsia="Times New Roman" w:hAnsi="Times New Roman"/>
          <w:sz w:val="18"/>
          <w:szCs w:val="18"/>
          <w:color w:val="auto"/>
        </w:rPr>
        <w:t>The decrease in revenues in 2017 compared to 2016 was largely driven by (i) lower volumes on certain Salt Lake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pipelines due to proactively shutting down our Wahsatch pipeline for approximately 30 days during the first quarter of 2017 as a precautionary measure in response to indications of soil movement identified by our monitoring systems, (ii) the sale of certain Bakken and Salt Lake City area pipelines in October 2017 and (iii) the sale of 50% of our investment in Cheyenne in June 2016, subsequent to which it was accounted for under the equity method of accounting. The decrease in revenues for 2016 compared to 2015 was largely driven by (i) lower volumes due to production declines and increased competition and (ii) the sale of 50% of our investment in Cheyenne Pipeline.</w:t>
      </w:r>
    </w:p>
    <w:p>
      <w:pPr>
        <w:spacing w:after="0" w:line="184" w:lineRule="exact"/>
        <w:rPr>
          <w:rFonts w:ascii="Times New Roman" w:cs="Times New Roman" w:eastAsia="Times New Roman" w:hAnsi="Times New Roman"/>
          <w:sz w:val="18"/>
          <w:szCs w:val="18"/>
          <w:i w:val="1"/>
          <w:iCs w:val="1"/>
          <w:color w:val="auto"/>
        </w:rPr>
      </w:pPr>
    </w:p>
    <w:p>
      <w:pPr>
        <w:ind w:left="980" w:right="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Equity earnings increased for each of the comparative periods due to earnings from (i) our 40% investment in Saddlehorn, which began operations in the third quarter of 2016, and (ii) our 50% investment in Cheyenne, as discussed above. Such increases were partially offset during 2017 as compared to 2016 by decreased equity earnings from our 35.67% interest in White Cliffs due to lower volumes on the joint venture pipeline.</w:t>
      </w:r>
    </w:p>
    <w:p>
      <w:pPr>
        <w:spacing w:after="0" w:line="178" w:lineRule="exact"/>
        <w:rPr>
          <w:rFonts w:ascii="Times New Roman" w:cs="Times New Roman" w:eastAsia="Times New Roman" w:hAnsi="Times New Roman"/>
          <w:sz w:val="18"/>
          <w:szCs w:val="18"/>
          <w:i w:val="1"/>
          <w:iCs w:val="1"/>
          <w:color w:val="auto"/>
        </w:rPr>
      </w:pPr>
    </w:p>
    <w:p>
      <w:pPr>
        <w:ind w:left="980" w:right="140" w:hanging="324"/>
        <w:spacing w:after="0" w:line="267" w:lineRule="auto"/>
        <w:tabs>
          <w:tab w:leader="none" w:pos="98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The revenues variance for the year ended December 31, 2016 compared to the same 2015 period was primarily related to lower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allowance revenue due to a lower average realized price per barrel. The decrease in purchases and related costs for the year ended December 31, 2016 compared to the same 2015 period was due to lower trucking costs driven by lower contract services rates.</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Adjustments: Deficiencies under minimum volume commitments, net. </w:t>
      </w:r>
      <w:r>
        <w:rPr>
          <w:rFonts w:ascii="Times New Roman" w:cs="Times New Roman" w:eastAsia="Times New Roman" w:hAnsi="Times New Roman"/>
          <w:sz w:val="18"/>
          <w:szCs w:val="18"/>
          <w:color w:val="auto"/>
        </w:rPr>
        <w:t>Many industry infrastructure projects developed and completed over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years were underpinned by long-term minimum volume commitment contracts whereby the shipper, based on an expectation of continued production growth, agreed to either: (i) ship and pay for certain stated volumes or (ii) pay the agreed upon price for a minimum contract quantity. During 2016 and 2017, as presented in the table above, we had net collections for deficiencies under minimum volume commitments resulting in deferred revenues and an increase to segment adjusted EBITDA. However, such net collections in 2017 were substantially offset by (i) shippers utilizing credits associated with previous deficiencies or (ii) credits expiring, which resulted in the recognition of previously deferred revenue. Such amounts were not material to periods prior to 2016 and, thus, are not included in the table for 2015.</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increased for the year ended December 31, 2017 compared to the year ended December 31,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estimated costs associated with the Line 901 incident (which impact our field operating costs but are excluded from segment adjusted EBITDA and thus are reflected as an “Adjustment” in the table above). See Note 17 to our Consolidated Financial Statements for additional information regarding the Line 901 incident. The increase in field operating costs was further driven by an increase in power costs resulting from higher volumes and incremental operating costs from the ACC gathering system acquisition in February 2017, partially offset by cost reduction efforts and decreased costs due to the sale of certain Gulf Coast pipelines in March and July 2016.</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decrease in field operating costs for the year ended December 31, 2016 compared to the year ended December 31, 2015 was primarily due to net estimated costs of $83 million recognized during 2015 associated with the Line 901 incident (which impact our field operating costs but are excluded from segment adjusted EBITDA and thus are reflected as an “Adjustment” in the table above). The decrease in field operating costs was further driven by lower utilities and maintenance costs, costs associated with a release of crude oil at a pump station in Illinois (the MP 29 release) during 2015, lower operating costs due to the sale of certain of our Gulf Coast pipelines in 2016, as noted above, and a favorable foreign exchange impact of $5 million, partially offset by an increase in insurance premiums.</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Maintenance capital consists of capital expenditures for the replacement and/or refurbishment of partially or fully depreciated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 order to maintain the operating and/or earnings capacity of our existing assets. The decrease in maintenance capital for the year ended December 31, 2016 compared to the year ended December 31, 2015 was primarily driven by completion of several large projects in earlier years and lower third-party service costs.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Facilities Segment</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Facilities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Natural gas related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general and administrative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4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(Gains)/losses from derivative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of inventory valuation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commitments, net</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gain on foreign currency revaluation</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Volumes </w:t>
      </w:r>
      <w:r>
        <w:rPr>
          <w:rFonts w:ascii="Times New Roman" w:cs="Times New Roman" w:eastAsia="Times New Roman" w:hAnsi="Times New Roman"/>
          <w:sz w:val="8"/>
          <w:szCs w:val="8"/>
          <w:b w:val="1"/>
          <w:bCs w:val="1"/>
          <w:color w:val="auto"/>
        </w:rPr>
        <w:t>(4)</w:t>
      </w:r>
    </w:p>
    <w:p>
      <w:pPr>
        <w:spacing w:after="0" w:line="61" w:lineRule="exact"/>
        <w:rPr>
          <w:sz w:val="20"/>
          <w:szCs w:val="20"/>
          <w:color w:val="auto"/>
        </w:rPr>
      </w:pPr>
    </w:p>
    <w:p>
      <w:pPr>
        <w:ind w:left="200" w:hanging="161"/>
        <w:spacing w:after="0" w:line="281" w:lineRule="auto"/>
        <w:rPr>
          <w:sz w:val="20"/>
          <w:szCs w:val="20"/>
          <w:color w:val="auto"/>
        </w:rPr>
      </w:pPr>
      <w:r>
        <w:rPr>
          <w:rFonts w:ascii="Times New Roman" w:cs="Times New Roman" w:eastAsia="Times New Roman" w:hAnsi="Times New Roman"/>
          <w:sz w:val="18"/>
          <w:szCs w:val="18"/>
          <w:color w:val="auto"/>
        </w:rPr>
        <w:t>Liquids storage (average monthly capacity in millions of barrels)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Natural gas storage (average</w:t>
      </w:r>
    </w:p>
    <w:p>
      <w:pPr>
        <w:spacing w:after="0" w:line="27" w:lineRule="exact"/>
        <w:rPr>
          <w:sz w:val="20"/>
          <w:szCs w:val="20"/>
          <w:color w:val="auto"/>
        </w:rPr>
      </w:pPr>
    </w:p>
    <w:p>
      <w:pPr>
        <w:ind w:left="200" w:right="40"/>
        <w:spacing w:after="0" w:line="236" w:lineRule="auto"/>
        <w:rPr>
          <w:sz w:val="20"/>
          <w:szCs w:val="20"/>
          <w:color w:val="auto"/>
        </w:rPr>
      </w:pPr>
      <w:r>
        <w:rPr>
          <w:rFonts w:ascii="Times New Roman" w:cs="Times New Roman" w:eastAsia="Times New Roman" w:hAnsi="Times New Roman"/>
          <w:sz w:val="18"/>
          <w:szCs w:val="18"/>
          <w:color w:val="auto"/>
        </w:rPr>
        <w:t xml:space="preserve">monthly working capacity in billions of cubic feet) </w:t>
      </w:r>
      <w:r>
        <w:rPr>
          <w:rFonts w:ascii="Times New Roman" w:cs="Times New Roman" w:eastAsia="Times New Roman" w:hAnsi="Times New Roman"/>
          <w:sz w:val="25"/>
          <w:szCs w:val="25"/>
          <w:color w:val="auto"/>
          <w:vertAlign w:val="superscript"/>
        </w:rPr>
        <w:t>(5)</w:t>
      </w:r>
    </w:p>
    <w:p>
      <w:pPr>
        <w:spacing w:after="0" w:line="2" w:lineRule="exact"/>
        <w:rPr>
          <w:sz w:val="20"/>
          <w:szCs w:val="20"/>
          <w:color w:val="auto"/>
        </w:rPr>
      </w:pPr>
    </w:p>
    <w:p>
      <w:pPr>
        <w:ind w:left="200" w:right="420" w:hanging="161"/>
        <w:spacing w:after="0" w:line="286" w:lineRule="auto"/>
        <w:rPr>
          <w:sz w:val="20"/>
          <w:szCs w:val="20"/>
          <w:color w:val="auto"/>
        </w:rPr>
      </w:pPr>
      <w:r>
        <w:rPr>
          <w:rFonts w:ascii="Times New Roman" w:cs="Times New Roman" w:eastAsia="Times New Roman" w:hAnsi="Times New Roman"/>
          <w:sz w:val="17"/>
          <w:szCs w:val="17"/>
          <w:color w:val="auto"/>
        </w:rPr>
        <w:t>NGL fractionation (average volumes in thousands of barrels per day)</w:t>
      </w:r>
    </w:p>
    <w:p>
      <w:pPr>
        <w:jc w:val="right"/>
        <w:ind w:left="40" w:right="40"/>
        <w:spacing w:after="0" w:line="258" w:lineRule="auto"/>
        <w:rPr>
          <w:sz w:val="20"/>
          <w:szCs w:val="20"/>
          <w:color w:val="auto"/>
        </w:rPr>
      </w:pPr>
      <w:r>
        <w:rPr>
          <w:rFonts w:ascii="Times New Roman" w:cs="Times New Roman" w:eastAsia="Times New Roman" w:hAnsi="Times New Roman"/>
          <w:sz w:val="18"/>
          <w:szCs w:val="18"/>
          <w:color w:val="auto"/>
        </w:rPr>
        <w:t>Facilities segment total volumes (average monthly volumes in millions of barrels)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25044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5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700" w:type="dxa"/>
            <w:vAlign w:val="bottom"/>
            <w:tcBorders>
              <w:bottom w:val="single" w:sz="8" w:color="auto"/>
            </w:tcBorders>
          </w:tcPr>
          <w:p>
            <w:pPr>
              <w:spacing w:after="0"/>
              <w:rPr>
                <w:sz w:val="22"/>
                <w:szCs w:val="22"/>
                <w:color w:val="auto"/>
              </w:rPr>
            </w:pPr>
          </w:p>
        </w:tc>
      </w:tr>
      <w:tr>
        <w:trPr>
          <w:trHeight w:val="264"/>
        </w:trPr>
        <w:tc>
          <w:tcPr>
            <w:tcW w:w="10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7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9"/>
              </w:rPr>
              <w:t>Volumes</w:t>
            </w:r>
          </w:p>
        </w:tc>
        <w:tc>
          <w:tcPr>
            <w:tcW w:w="7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444"/>
        </w:trPr>
        <w:tc>
          <w:tcPr>
            <w:tcW w:w="10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15"/>
        </w:trPr>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9"/>
        </w:trPr>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48"/>
        </w:trPr>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-728345</wp:posOffset>
            </wp:positionV>
            <wp:extent cx="724662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-1491615</wp:posOffset>
            </wp:positionV>
            <wp:extent cx="7246620"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260"/>
            <w:col w:w="8060"/>
          </w:cols>
          <w:pgMar w:left="240" w:top="121" w:right="239" w:bottom="1440" w:gutter="0" w:footer="0" w:header="0"/>
          <w:type w:val="continuous"/>
        </w:sectPr>
      </w:pPr>
    </w:p>
    <w:p>
      <w:pPr>
        <w:spacing w:after="0" w:line="16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pacing w:after="0" w:line="64"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w:t>
      </w:r>
    </w:p>
    <w:p>
      <w:pPr>
        <w:spacing w:after="0" w:line="2" w:lineRule="exact"/>
        <w:rPr>
          <w:rFonts w:ascii="Times New Roman" w:cs="Times New Roman" w:eastAsia="Times New Roman" w:hAnsi="Times New Roman"/>
          <w:sz w:val="25"/>
          <w:szCs w:val="25"/>
          <w:color w:val="auto"/>
          <w:vertAlign w:val="superscript"/>
        </w:rPr>
      </w:pPr>
    </w:p>
    <w:p>
      <w:pPr>
        <w:ind w:left="660" w:right="180"/>
        <w:spacing w:after="0" w:line="25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segments. The proportional allocations by segment require judgment by management and are based on the business activities that exist during each period.</w:t>
      </w:r>
    </w:p>
    <w:p>
      <w:pPr>
        <w:spacing w:after="0" w:line="73" w:lineRule="exact"/>
        <w:rPr>
          <w:rFonts w:ascii="Times New Roman" w:cs="Times New Roman" w:eastAsia="Times New Roman" w:hAnsi="Times New Roman"/>
          <w:sz w:val="25"/>
          <w:szCs w:val="25"/>
          <w:color w:val="auto"/>
          <w:vertAlign w:val="superscript"/>
        </w:rPr>
      </w:pPr>
    </w:p>
    <w:p>
      <w:pPr>
        <w:ind w:left="660" w:right="640" w:hanging="652"/>
        <w:spacing w:after="0" w:line="218" w:lineRule="auto"/>
        <w:tabs>
          <w:tab w:leader="none" w:pos="660" w:val="left"/>
        </w:tabs>
        <w:numPr>
          <w:ilvl w:val="0"/>
          <w:numId w:val="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ectPr>
          <w:pgSz w:w="11900" w:h="16838" w:orient="portrait"/>
          <w:cols w:equalWidth="0" w:num="1">
            <w:col w:w="11420"/>
          </w:cols>
          <w:pgMar w:left="240" w:top="121" w:right="2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07"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Average monthly volumes are calculated as total volumes for the year divided by the number of months in the year.</w:t>
      </w:r>
    </w:p>
    <w:p>
      <w:pPr>
        <w:spacing w:after="0" w:line="98" w:lineRule="exact"/>
        <w:rPr>
          <w:rFonts w:ascii="Times New Roman" w:cs="Times New Roman" w:eastAsia="Times New Roman" w:hAnsi="Times New Roman"/>
          <w:sz w:val="25"/>
          <w:szCs w:val="25"/>
          <w:color w:val="auto"/>
          <w:vertAlign w:val="superscript"/>
        </w:rPr>
      </w:pPr>
    </w:p>
    <w:p>
      <w:pPr>
        <w:ind w:left="660" w:right="40" w:hanging="652"/>
        <w:spacing w:after="0" w:line="225" w:lineRule="auto"/>
        <w:tabs>
          <w:tab w:leader="none" w:pos="660"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decrease in average monthly working capacity of natural gas storage facilities in 2017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0" w:lineRule="exact"/>
        <w:rPr>
          <w:rFonts w:ascii="Times New Roman" w:cs="Times New Roman" w:eastAsia="Times New Roman" w:hAnsi="Times New Roman"/>
          <w:sz w:val="25"/>
          <w:szCs w:val="25"/>
          <w:color w:val="auto"/>
          <w:vertAlign w:val="superscript"/>
        </w:rPr>
      </w:pPr>
    </w:p>
    <w:p>
      <w:pPr>
        <w:ind w:left="660" w:right="360" w:hanging="652"/>
        <w:spacing w:after="0" w:line="228" w:lineRule="auto"/>
        <w:tabs>
          <w:tab w:leader="none" w:pos="660"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year and divided by the number of months in the year.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Facilities segment operating results for the periods indicated.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Revenues and Volumes. </w:t>
      </w:r>
      <w:r>
        <w:rPr>
          <w:rFonts w:ascii="Times New Roman" w:cs="Times New Roman" w:eastAsia="Times New Roman" w:hAnsi="Times New Roman"/>
          <w:sz w:val="18"/>
          <w:szCs w:val="18"/>
          <w:color w:val="auto"/>
        </w:rPr>
        <w:t>Variances in revenues and average monthly volumes for the comparative periods were primarily driven by:</w:t>
      </w:r>
    </w:p>
    <w:p>
      <w:pPr>
        <w:spacing w:after="0" w:line="227" w:lineRule="exact"/>
        <w:rPr>
          <w:sz w:val="20"/>
          <w:szCs w:val="20"/>
          <w:color w:val="auto"/>
        </w:rPr>
      </w:pPr>
    </w:p>
    <w:p>
      <w:pPr>
        <w:ind w:left="660" w:right="40" w:hanging="328"/>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Storage, NGL Fractionation and Canadian Gas Processing — Revenues increased by $99 million and $53 million, respectively, for the comparative periods presented primarily due to contributions from (i) the Western Canada NGL assets we acquired in August 2016, (ii) ongoing expansion projects at our Fort Saskatchewan facility, which have increased storage and fractionation capacity, and (iii) higher rates at certain of our NGL storage and fractionation facilities, which were largely incurred in our Supply and Logistics segment. The increased revenue for the year ended December 31, 2016 compared to the same period in 2015 was partially offset by unfavorable foreign exchange fluctuation impacts of $10 million, which were also largely offset in our Supply and Logistics segment results.</w:t>
      </w:r>
    </w:p>
    <w:p>
      <w:pPr>
        <w:spacing w:after="0" w:line="187" w:lineRule="exact"/>
        <w:rPr>
          <w:rFonts w:ascii="Times New Roman" w:cs="Times New Roman" w:eastAsia="Times New Roman" w:hAnsi="Times New Roman"/>
          <w:sz w:val="18"/>
          <w:szCs w:val="18"/>
          <w:color w:val="auto"/>
        </w:rPr>
      </w:pPr>
    </w:p>
    <w:p>
      <w:pPr>
        <w:ind w:left="660" w:right="60" w:hanging="328"/>
        <w:spacing w:after="0" w:line="289" w:lineRule="auto"/>
        <w:tabs>
          <w:tab w:leader="none" w:pos="6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Crude Oil Storage — Revenues for the year ended December 31, 2017 were relatively flat compared to the year ended December 31, 2016. Higher 2017 revenues from our Cushing terminal driven by increased terminal throughput and capacity expansions of approximately 2 million barrels were offset by (i) decreased utilization at certain of our Southern California terminals and (ii) the sale of certain of our East Coast terminals in April 2016.</w:t>
      </w:r>
    </w:p>
    <w:p>
      <w:pPr>
        <w:spacing w:after="0" w:line="15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the year ended December 31, 2016, crude oil storage revenues increased by $24 million over the year ended December 31, 2015 primarily due to</w:t>
      </w:r>
    </w:p>
    <w:p>
      <w:pPr>
        <w:spacing w:after="0" w:line="27" w:lineRule="exact"/>
        <w:rPr>
          <w:rFonts w:ascii="Times New Roman" w:cs="Times New Roman" w:eastAsia="Times New Roman" w:hAnsi="Times New Roman"/>
          <w:sz w:val="17"/>
          <w:szCs w:val="17"/>
          <w:color w:val="auto"/>
        </w:rPr>
      </w:pPr>
    </w:p>
    <w:p>
      <w:pPr>
        <w:ind w:left="66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aggregate capacity expansions of approximately 4 million barrels at our St. James and Cushing terminals and (ii) increased utilization at certain of our West Coast terminals. Such increases were partially offset by lower results due to the sale of certain of our East Coast terminals in April 2016.</w:t>
      </w:r>
    </w:p>
    <w:p>
      <w:pPr>
        <w:spacing w:after="0" w:line="179"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Storage — Revenues decreased slightly for the year ended December 31, 2017 compared to the same 2016 period. Lower results due to the June 2017 sale of our Bluewater natural gas storage facility were largely offset by contributions from higher rates on new contracts replacing expiring contracts and more favorable market conditions for hub services.</w:t>
      </w:r>
    </w:p>
    <w:p>
      <w:pPr>
        <w:spacing w:after="0" w:line="176"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Rail Terminals — Revenues decreased by $26 million for the year ended December 31, 2017 compared to the year ended December 31, 2016 primarily due to lower activity at our U.S. terminals resulting from less favorable market conditions, partially offset by revenues and volumes from our Fort Saskatchewan, Alberta rail terminal that came online in April 2016.</w:t>
      </w:r>
    </w:p>
    <w:p>
      <w:pPr>
        <w:spacing w:after="0" w:line="176"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2016, rail terminals revenues decreased by $17 million compared to the year ended December 31, 2015 primarily due to lower activity at our U.S. terminals as a result of production declines in the Bakken and less favorable market conditions, partially offset by (i) revenue associated with minimum volume commitments at certain of our terminals and (ii) revenues and volumes from our Fort Saskatchewan rail terminal.</w:t>
      </w:r>
    </w:p>
    <w:p>
      <w:pPr>
        <w:spacing w:after="0" w:line="17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decreased for the year ended December 31, 2017 compared to the same 2016 period due to reduced rail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cost reduction efforts and the sales of our Bluewater natural gas storage facility in June 2017 and certain of our East Coast terminals in April 2016. Such decreases were largely offset by an increase in operating costs associated with the Western Canada NGL assets acquired in August 2016 and increased power costs.</w:t>
      </w:r>
    </w:p>
    <w:p>
      <w:pPr>
        <w:spacing w:after="0" w:line="18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decrease in field operating costs for the year ended December 31, 2016 compared to December 31, 2015 was primarily due to (i) lower costs related to contract services, largely at our rail terminals and, to a lesser extent, at our processing facilities, (ii) the impact from the sale of certain of our East Coast terminals in April 2016, (iii) lower turnaround and inspection costs and (iv) favorable foreign exchange fluctuation impacts of $4 million. Such decreases were partially offset by an increase in operating costs due to the Western Canada NGL assets acquired in August 2016.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Capital. </w:t>
      </w:r>
      <w:r>
        <w:rPr>
          <w:rFonts w:ascii="Times New Roman" w:cs="Times New Roman" w:eastAsia="Times New Roman" w:hAnsi="Times New Roman"/>
          <w:sz w:val="18"/>
          <w:szCs w:val="18"/>
          <w:color w:val="auto"/>
        </w:rPr>
        <w:t>The increase in maintenance capital for 2017 compared to 2016 was primarily due to increased investment in our integrity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program, primarily on assets at our Southern California terminals. Total maintenance costs related to our integrity management program at these terminals increased by approximately $49 million for 2017 compared to 2016. While routine assessments and repairs will be required in the future, we expect significant reductions to our maintenance capital costs at these terminals going forward.</w:t>
      </w:r>
    </w:p>
    <w:p>
      <w:pPr>
        <w:spacing w:after="0" w:line="18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for 2016 compared to 2015 was primarily due to lower spending on various tank and other maintenance capital projects, partially due to the timing of certain 2015 projects at our NGL storage and fractionation facilities.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Supply and Logistics Segment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revenues from supply and logistics activities reflect the sale of gathered and bulk-purchased crude oil, as well as sales of NGL volumes and natural gas sales attributable to activities that were previously performed by the natural gas storage commercial optimization group. Generally, our segment results are impacted by (i) increases or decreases in our Supply and Logistics segment volumes (which consist of lease gathering crude oil purchases volumes and NGL sales volumes),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Supply and Logistics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8"/>
                <w:szCs w:val="8"/>
                <w:b w:val="1"/>
                <w:bCs w:val="1"/>
                <w:color w:val="auto"/>
              </w:rPr>
              <w:t>(1)</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barrel data)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5"/>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general and administrative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40" w:type="dxa"/>
            <w:vAlign w:val="bottom"/>
            <w:gridSpan w:val="2"/>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(Gains)/losses from derivative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of inventory valuation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(gain)/loss on foreign currency</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revaluation</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Volumes</w:t>
            </w: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6"/>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2016-2015</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vMerge w:val="restart"/>
          </w:tcPr>
          <w:p>
            <w:pPr>
              <w:spacing w:after="0"/>
              <w:rPr>
                <w:sz w:val="5"/>
                <w:szCs w:val="5"/>
                <w:color w:val="auto"/>
              </w:rPr>
            </w:pPr>
          </w:p>
        </w:tc>
        <w:tc>
          <w:tcPr>
            <w:tcW w:w="420" w:type="dxa"/>
            <w:vAlign w:val="bottom"/>
            <w:vMerge w:val="restart"/>
          </w:tcPr>
          <w:p>
            <w:pPr>
              <w:spacing w:after="0"/>
              <w:rPr>
                <w:sz w:val="5"/>
                <w:szCs w:val="5"/>
                <w:color w:val="auto"/>
              </w:rPr>
            </w:pPr>
          </w:p>
        </w:tc>
        <w:tc>
          <w:tcPr>
            <w:tcW w:w="7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00" w:type="dxa"/>
            <w:vAlign w:val="bottom"/>
            <w:vMerge w:val="restart"/>
          </w:tcPr>
          <w:p>
            <w:pPr>
              <w:spacing w:after="0"/>
              <w:rPr>
                <w:sz w:val="5"/>
                <w:szCs w:val="5"/>
                <w:color w:val="auto"/>
              </w:rPr>
            </w:pPr>
          </w:p>
        </w:tc>
        <w:tc>
          <w:tcPr>
            <w:tcW w:w="400" w:type="dxa"/>
            <w:vAlign w:val="bottom"/>
            <w:vMerge w:val="restart"/>
          </w:tcPr>
          <w:p>
            <w:pPr>
              <w:spacing w:after="0"/>
              <w:rPr>
                <w:sz w:val="5"/>
                <w:szCs w:val="5"/>
                <w:color w:val="auto"/>
              </w:rPr>
            </w:pPr>
          </w:p>
        </w:tc>
        <w:tc>
          <w:tcPr>
            <w:tcW w:w="7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of barrels per day)</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NGL sales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gridSpan w:val="2"/>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Supply and Logistics segment total</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2504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pacing w:after="0" w:line="64"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Revenues and costs include intersegment amounts.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w:t>
      </w:r>
    </w:p>
    <w:p>
      <w:pPr>
        <w:spacing w:after="0" w:line="2" w:lineRule="exact"/>
        <w:rPr>
          <w:rFonts w:ascii="Times New Roman" w:cs="Times New Roman" w:eastAsia="Times New Roman" w:hAnsi="Times New Roman"/>
          <w:sz w:val="25"/>
          <w:szCs w:val="25"/>
          <w:color w:val="auto"/>
          <w:vertAlign w:val="superscript"/>
        </w:rPr>
      </w:pPr>
    </w:p>
    <w:p>
      <w:pPr>
        <w:ind w:left="660" w:right="180"/>
        <w:spacing w:after="0" w:line="25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segments. The proportional allocations by segment require judgment by management and are based on the business activities that exist during each period.</w:t>
      </w:r>
    </w:p>
    <w:p>
      <w:pPr>
        <w:spacing w:after="0" w:line="73" w:lineRule="exact"/>
        <w:rPr>
          <w:rFonts w:ascii="Times New Roman" w:cs="Times New Roman" w:eastAsia="Times New Roman" w:hAnsi="Times New Roman"/>
          <w:sz w:val="25"/>
          <w:szCs w:val="25"/>
          <w:color w:val="auto"/>
          <w:vertAlign w:val="superscript"/>
        </w:rPr>
      </w:pPr>
    </w:p>
    <w:p>
      <w:pPr>
        <w:ind w:left="660" w:right="640" w:hanging="652"/>
        <w:spacing w:after="0" w:line="218" w:lineRule="auto"/>
        <w:tabs>
          <w:tab w:leader="none" w:pos="660"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19 to our Consolidated Financial Statements for additional discussion of such adjustments.</w:t>
      </w:r>
    </w:p>
    <w:p>
      <w:pPr>
        <w:spacing w:after="0" w:line="199"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presents the range of the NYMEX West Texas Intermediate benchmark price of crude oil (in dollars per barrel):</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NYMEX WTI</w:t>
            </w:r>
          </w:p>
        </w:tc>
        <w:tc>
          <w:tcPr>
            <w:tcW w:w="780" w:type="dxa"/>
            <w:vAlign w:val="bottom"/>
          </w:tcPr>
          <w:p>
            <w:pPr>
              <w:spacing w:after="0"/>
              <w:rPr>
                <w:sz w:val="13"/>
                <w:szCs w:val="13"/>
                <w:color w:val="auto"/>
              </w:rPr>
            </w:pPr>
          </w:p>
        </w:tc>
      </w:tr>
      <w:tr>
        <w:trPr>
          <w:trHeight w:val="195"/>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Crude Oil Price</w:t>
            </w:r>
          </w:p>
        </w:tc>
        <w:tc>
          <w:tcPr>
            <w:tcW w:w="780" w:type="dxa"/>
            <w:vAlign w:val="bottom"/>
            <w:tcBorders>
              <w:bottom w:val="single" w:sz="8" w:color="auto"/>
            </w:tcBorders>
          </w:tcPr>
          <w:p>
            <w:pPr>
              <w:spacing w:after="0"/>
              <w:rPr>
                <w:sz w:val="16"/>
                <w:szCs w:val="16"/>
                <w:color w:val="auto"/>
              </w:rPr>
            </w:pPr>
          </w:p>
        </w:tc>
      </w:tr>
      <w:tr>
        <w:trPr>
          <w:trHeight w:val="264"/>
        </w:trPr>
        <w:tc>
          <w:tcPr>
            <w:tcW w:w="8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During the Year Ended December 31,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49"/>
        </w:trPr>
        <w:tc>
          <w:tcPr>
            <w:tcW w:w="8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year ended December 31, 2017 compared to the year ended December 31, 2016 primarily due to higher crude oil prices and volumes during the 2017 period. The absolute amount of our revenues and purchases decreased for the year ended December 31, 2016 compared to the same 2015 period primarily due to lower crude oil and NGL prices and lower NGL volumes during the period. Additionally, revenues and purchases were impacted by net gains and losses from certain derivative activities during the periods.</w:t>
      </w:r>
    </w:p>
    <w:p>
      <w:pPr>
        <w:spacing w:after="0" w:line="188" w:lineRule="exact"/>
        <w:rPr>
          <w:sz w:val="20"/>
          <w:szCs w:val="20"/>
          <w:color w:val="auto"/>
        </w:rPr>
      </w:pPr>
    </w:p>
    <w:p>
      <w:pPr>
        <w:ind w:right="840" w:firstLine="648"/>
        <w:spacing w:after="0" w:line="266" w:lineRule="auto"/>
        <w:rPr>
          <w:sz w:val="20"/>
          <w:szCs w:val="20"/>
          <w:color w:val="auto"/>
        </w:rPr>
      </w:pPr>
      <w:r>
        <w:rPr>
          <w:rFonts w:ascii="Times New Roman" w:cs="Times New Roman" w:eastAsia="Times New Roman" w:hAnsi="Times New Roman"/>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items impacting Supply and Logistics segment operating results for the periods indicated.</w:t>
      </w:r>
    </w:p>
    <w:p>
      <w:pPr>
        <w:spacing w:after="0" w:line="22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Revenues and Volumes. </w:t>
      </w:r>
      <w:r>
        <w:rPr>
          <w:rFonts w:ascii="Times New Roman" w:cs="Times New Roman" w:eastAsia="Times New Roman" w:hAnsi="Times New Roman"/>
          <w:sz w:val="18"/>
          <w:szCs w:val="18"/>
          <w:color w:val="auto"/>
        </w:rPr>
        <w:t>Our Supply and Logistics results have been impacted by crude oil and NGL margin compression and reduced arbitrage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However, for the year ended December 31, 2017, segment revenues, net of purchases and related costs, increased by $117 million over the year ended December 31, 2016 as lower results from these less favorable market conditions were offset by a favorable impact from certain derivative activities (as discussed further below). Revenues, net of purchases and related costs, decreased by $536 million for the year ended December 31, 2016 compared to the same 2015 period (of which $144 million was related to the mark-to-market impact of certain derivatives and long-term inventory costing adjustments). The following summarizes the significant items impacting the comparative periods:</w:t>
      </w:r>
    </w:p>
    <w:p>
      <w:pPr>
        <w:spacing w:after="0" w:line="185" w:lineRule="exact"/>
        <w:rPr>
          <w:sz w:val="20"/>
          <w:szCs w:val="20"/>
          <w:color w:val="auto"/>
        </w:rPr>
      </w:pPr>
    </w:p>
    <w:p>
      <w:pPr>
        <w:ind w:left="660" w:right="60" w:hanging="328"/>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Operations — Net revenues from our crude oil supply and logistics operations decreased for each comparative period primarily due to lower unit margins from continued and intensifying competition, largely due to overbuilt infrastructure underwritten with volume commitments, and the effect of such on differentials, which reduced arbitrage opportunities. See the “Market Overview and Outlook” section below for additional discussion of recent market conditions.</w:t>
      </w:r>
    </w:p>
    <w:p>
      <w:pPr>
        <w:spacing w:after="0" w:line="180"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Operations — Net revenues from our NGL operations decreased for the year ended December 31, 2017 compared to the year ended December 31, 2016, largely due to (i) higher supply costs and tighter differentials driven by competition, which more than offset higher sales volume from the Western Canada NGL assets acquired in August 2016, (ii) warmer weather during the first-quarter 2017 heating season and (iii) higher storage and processing fees for the 2017 period, which were largely offset in our Facilities segment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660" w:right="280"/>
        <w:spacing w:after="0" w:line="266" w:lineRule="auto"/>
        <w:rPr>
          <w:sz w:val="20"/>
          <w:szCs w:val="20"/>
          <w:color w:val="auto"/>
        </w:rPr>
      </w:pPr>
      <w:r>
        <w:rPr>
          <w:rFonts w:ascii="Times New Roman" w:cs="Times New Roman" w:eastAsia="Times New Roman" w:hAnsi="Times New Roman"/>
          <w:sz w:val="18"/>
          <w:szCs w:val="18"/>
          <w:color w:val="auto"/>
        </w:rPr>
        <w:t>Net revenues from our NGL operations decreased for the year ended December 31, 2016 compared to the year ended December 31, 2015, largely due to (i) higher storage and processing fees for the 2016 periods, which were largely offset in our Facilities segment, and (ii) higher supply costs driven by competition, which more than offset higher sales volumes.</w:t>
      </w:r>
    </w:p>
    <w:p>
      <w:pPr>
        <w:spacing w:after="0" w:line="176" w:lineRule="exact"/>
        <w:rPr>
          <w:sz w:val="20"/>
          <w:szCs w:val="20"/>
          <w:color w:val="auto"/>
        </w:rPr>
      </w:pPr>
    </w:p>
    <w:p>
      <w:pPr>
        <w:ind w:left="660" w:right="100" w:hanging="328"/>
        <w:spacing w:after="0" w:line="277" w:lineRule="auto"/>
        <w:tabs>
          <w:tab w:leader="none" w:pos="6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from Certain Derivative Activities, Net of Inventory Valuation Adjustments — 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12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68" w:lineRule="exact"/>
        <w:rPr>
          <w:rFonts w:ascii="Times New Roman" w:cs="Times New Roman" w:eastAsia="Times New Roman" w:hAnsi="Times New Roman"/>
          <w:sz w:val="17"/>
          <w:szCs w:val="17"/>
          <w:color w:val="auto"/>
        </w:rPr>
      </w:pPr>
    </w:p>
    <w:p>
      <w:pPr>
        <w:ind w:left="660" w:right="40" w:hanging="328"/>
        <w:spacing w:after="0" w:line="25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Inventory Costing Adjustments — 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8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Impacts — Our net revenues are impacted by fluctuations in the value of CAD to USD, resulting in foreign exchange gains and losses on U.S. denominated net assets within our Canadian operations. These gains and losses impact our net revenues but are excluded from segment adjusted EBITDA and thus are reflected as an “Adjustment” in the table above.</w:t>
      </w:r>
    </w:p>
    <w:p>
      <w:pPr>
        <w:spacing w:after="0" w:line="174"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decreased for the year ended December 31, 2017 compared to the same 2016 period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trucking costs as pipeline expansion projects were placed into service.</w:t>
      </w:r>
    </w:p>
    <w:p>
      <w:pPr>
        <w:spacing w:after="0" w:line="16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decrease in field operating costs for the year ended December 31, 2016 compared to the year ended December 31, 2015 was primarily due to a combination of (i) lower lease gathering volumes, (ii) shorter truck hauls and reduced use of third-party trucking services as pipeline expansion projects were placed into service, (iii) lower driver wages and (iv) a decrease in fuel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for the year ended December 31, 2017 compared to the same period in 2016 largely driven by (i) an increase in impairments, accelerated depreciation and canceled projects during the 2017 period primarily associated with certain of our rail and other terminal assets, (ii) additional depreciation associated with acquisitions and the completion of various capital expansion projects and (iii) smaller net gains from non-core asset sales and joint venture formations recognized in the 2017 period.</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2016 includes net gains of approximately $100 million, which were primarily associated with non-core asset sales and joint venture formations during the period. Excluding such gains, depreciation and amortization expense increased for the year ended December 31, 2016 compared to the same period in 2015 primarily due to (i) additional depreciation associated with the completion of various capital expansion projects, (ii) the write-off of $33 million of costs associated with the discontinuation of certain capital projects during 2016 and (iii) an $18 million charge in 2016 related to assets taken out of service. In addition, the 2016 period was further impacted by impairments of $80 million associated with certain of our rail and other terminal assets.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5 and Note 6 to our Consolidated Financial Statements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is primarily impacted by:</w:t>
      </w:r>
    </w:p>
    <w:p>
      <w:pPr>
        <w:spacing w:after="0" w:line="225"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weighted average debt balances;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maturity of fixed rate debt and interest rates associated therewith;</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interest rates and our interest rate hedging activities on floating rate debt;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capitalized on capital projects.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the interest expense variance (in millions, except percentages):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6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8"/>
                <w:szCs w:val="8"/>
                <w:b w:val="1"/>
                <w:bCs w:val="1"/>
                <w:color w:val="auto"/>
              </w:rPr>
              <w:t>(1)</w:t>
            </w:r>
          </w:p>
        </w:tc>
      </w:tr>
      <w:tr>
        <w:trPr>
          <w:trHeight w:val="249"/>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for the year ended December 31, 2015</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issuance and retirement of senior notes</w:t>
            </w:r>
          </w:p>
        </w:tc>
        <w:tc>
          <w:tcPr>
            <w:tcW w:w="5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borrowings under credit facilities and commercial paper program</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lower capitalized interest</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Interest expense for the year ended December 31, 2016</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borrowings under credit facilities and commercial paper program</w:t>
            </w:r>
          </w:p>
        </w:tc>
        <w:tc>
          <w:tcPr>
            <w:tcW w:w="5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lower capitalized interest</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5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for the year ended December 31, 2017</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Excludes commitment and other fees.</w:t>
      </w:r>
    </w:p>
    <w:p>
      <w:pPr>
        <w:spacing w:after="0" w:line="197"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10 to our Consolidated Financial Statements for additional information regarding our debt activities during the periods presented.</w:t>
      </w:r>
    </w:p>
    <w:p>
      <w:pPr>
        <w:spacing w:after="0" w:line="221"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color w:val="auto"/>
        </w:rPr>
        <w:t>Other Income/(Expense), Net</w:t>
      </w:r>
    </w:p>
    <w:p>
      <w:pPr>
        <w:spacing w:after="0" w:line="229"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summarizes the components impacting Other income/(expense), net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57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Loss on early redemption of senior notes </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 related to mark-to-market adjustment of our Preferred Distribution</w:t>
            </w: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1"/>
        </w:trPr>
        <w:tc>
          <w:tcPr>
            <w:tcW w:w="5740" w:type="dxa"/>
            <w:vAlign w:val="bottom"/>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Rate Reset Option </w:t>
            </w:r>
            <w:r>
              <w:rPr>
                <w:rFonts w:ascii="Times New Roman" w:cs="Times New Roman" w:eastAsia="Times New Roman" w:hAnsi="Times New Roman"/>
                <w:sz w:val="25"/>
                <w:szCs w:val="25"/>
                <w:color w:val="auto"/>
                <w:vertAlign w:val="superscript"/>
              </w:rPr>
              <w:t>(2)</w:t>
            </w:r>
          </w:p>
        </w:tc>
        <w:tc>
          <w:tcPr>
            <w:tcW w:w="12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740" w:type="dxa"/>
            <w:vAlign w:val="bottom"/>
          </w:tcPr>
          <w:p>
            <w:pPr>
              <w:spacing w:after="0"/>
              <w:rPr>
                <w:sz w:val="20"/>
                <w:szCs w:val="20"/>
                <w:color w:val="auto"/>
              </w:rPr>
            </w:pPr>
          </w:p>
        </w:tc>
        <w:tc>
          <w:tcPr>
            <w:tcW w:w="1260" w:type="dxa"/>
            <w:vAlign w:val="bottom"/>
            <w:tcBorders>
              <w:top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10 to our Consolidated Financial Statements for additional information.</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See Note 12 to our Consolidated Financial Statements for additional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increased for the year ended December 31, 2017 compared to the year ended December 31, 2016 primarily due to higher year-over-year income as impacted by fluctuations in derivative mark-to-market valuations in our Canadian operations during the 2017 period.</w:t>
      </w:r>
    </w:p>
    <w:p>
      <w:pPr>
        <w:spacing w:after="0" w:line="162"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decrease in income tax expense for the year ended December 31, 2016 compared to the year ended December 31, 2015 was primarily due to lower year-over-year income as impacted by fluctuations in derivative mark-to-market valuations in our Canadian operations during the 2016 period and the cumulative revaluation of Canadian net deferred tax liabilities resulting from a 2% Alberta, Canada provincial tax increase in the second quarter of 2015.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 and Outlook</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2017 marked the third full calendar year of a harsh downturn in the crude oil industry that started in mid-to-late 2014. This downturn has adversely impacted both the upstream and midstream sectors, but the near-term and long-term implications for each have varied. For example, the upstream sector was severely impacted initially, however, improvements in drilling and completion technology and efficiency and reductions in cost per barrel substantially reduced the oil price level required to generate attractive returns. In a +/- $50 per barrel oil price environment, these advancements provide long-term visibility for sustained U.S. production levels generally and significant growth opportunities in several regions, particularly with respect to the Permian Basin. Oil prices increased near the end of 2017 and have averaged above $60 per barrel in early 2018.</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crude oil midstream sector, the initial adverse impacts were somewhat muted as volume growth continued through mid-2015, but soon thereafter were adversely impacted by a variety of interrelated issues. These included production decreases or lower than anticipated growth throughout the U.S. which, in combination with the completion of multi-year infrastructure projects and new midstream entrants backed by private institutional capital, created excess takeaway capacity. The excess takeaway capacity resulted in competition that was amplified by excess minimum volume commitments, which also had a dramatic impact on historical regional differentials. The net effect of these developments lowered minimum return thresholds, increased risk and decreased margins of many of the larger established business platforms. As one of the largest U.S. crude oil midstream businesses, we experienced all of these challenges.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the long-term view for the crude oil midstream sector and for PAA is strong. Underpinned by technological advancements, U.S. Lower 48 crude oil production is positioned to grow significantly over the next several years, with the Permian Basin representing the most attractive and significant growth region. We believe we are well positioned to grow our fee-based businesses due to our leading crude oil midstream positions in substantially all U.S. regions and crude oil hubs, including our significant Permian Basin gathering, marketing, pipeline and terminalling network. In addition, PAA has made a number of meaningful investments that will be commencing operations in the near future or continuing to ramp up to full run-rate cash flow.</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Despite this positive long-term positioning, over the last few years we have generated lower than expected multi-year growth in our fee-based segments and experienced reduced profitability in our Supply and Logistics segment; in turn, these developments have elevated our credit metrics relative to our targeted range and our trailing distribution coverage has been below levels we consider sustainable. Additionally, access to conventional financial markets historically relied upon by master limited partnerships (“MLP”) to finance growth-oriented projects and manage debt levels has been both challenging and limited.</w:t>
      </w:r>
    </w:p>
    <w:p>
      <w:pPr>
        <w:spacing w:after="0" w:line="18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Taking all these factors into account, as well as the dilutive costs of accessing traditional MLP equity markets to reduce leverage or finance growth in a weak MLP equity environment, in August 2017 we announced a number of significant actions designed to enable us to deliver operating and financial performance in-line with our plans and enhance the long-term franchise value for all of our stakeholders. The cumulative effect of these actions should meaningfully reduce debt, improve our credit metrics, significantly reduce and/or eliminate the need to issue incremental common equity for routine expansion activities and enhance our ability to capitalize on attractive industry opportunities. Importantly, these actions are consistent with our objective to defend our investment grade credit metrics, restore strong distribution coverage and drive sustainable distribution growth capacity.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Relative to mid-year 2017 balances, the leverage reduction plan is designed to reduce debt by approximately $1.4 billion over a six quarter period ending March 31, 2019. We believe we are on track with our plan and we expect to achieve our deleveraging objectives and targeted credit metrics by the original March 31, 2019 target date, while maintaining a strong distribution coverage ratio comprised predominantly of fee-based cash flow sources.</w:t>
      </w:r>
    </w:p>
    <w:p>
      <w:pPr>
        <w:spacing w:after="0" w:line="176" w:lineRule="exact"/>
        <w:rPr>
          <w:sz w:val="20"/>
          <w:szCs w:val="20"/>
          <w:color w:val="auto"/>
        </w:rPr>
      </w:pPr>
    </w:p>
    <w:p>
      <w:pPr>
        <w:jc w:val="both"/>
        <w:ind w:right="240" w:firstLine="180"/>
        <w:spacing w:after="0" w:line="282" w:lineRule="auto"/>
        <w:rPr>
          <w:sz w:val="20"/>
          <w:szCs w:val="20"/>
          <w:color w:val="auto"/>
        </w:rPr>
      </w:pPr>
      <w:r>
        <w:rPr>
          <w:rFonts w:ascii="Times New Roman" w:cs="Times New Roman" w:eastAsia="Times New Roman" w:hAnsi="Times New Roman"/>
          <w:sz w:val="18"/>
          <w:szCs w:val="18"/>
          <w:color w:val="auto"/>
        </w:rPr>
        <w:t>However, we can provide no assurance that we will be able to achieve the objectives set forth above or that our efforts will generate targeted results. See Item 1A. “Risk Factors—Risks Related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 for Certain Idled and Underutilized Assets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During 2015, we shut down Line 901 and a portion of Line 903 in California following the release of crude oil from Line 901 (see Note 17 to our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$127 million as of December 31, 2017.</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own a 54% undivided joint interest in the Capline system, which originates in St. James, Louisiana and terminates in Patoka, Illinois. The construction of new crude oil pipeline infrastructure and the ongoing changing crude oil flows in the United States may result in a decline in volumes on the Capline system to levels that cannot sustain operations. The owners of the Capline system are considering various alternatives for the use of the pipeline system, including an assessment of the commercial potential to reverse the pipeline direction within the next several years. In early October 2017, the Capline owners launched a non-binding open season to gauge shipper interest in a possible reversal of the Capline system. This non-binding open season concluded in November, and in December 2017 the operator of the Capline system announced that the owners are proceeding with planning for a potential reversal of the Capline system and are planning to evaluate next steps required for a potential binding open season. If the Capline system were to not be reversed, this could result in the Capline owners incurring costs associated with retiring certain assets and/or an impairment of the carrying value of our interest in the Capline system, which was $195 million as of December 31,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as further discussed below in the section entitled “—Cash Flow from Operating Activities,” (ii) borrowings under our credit facilities or commercial paper program and (iii) funds received from sales of equity and debt securities. In addition, we may supplement these sources of liquidity with proceeds from our asset sales program, as further discussed below in the section entitled “— Acquisitions, Investments, Expansion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w:t>
      </w:r>
    </w:p>
    <w:p>
      <w:pPr>
        <w:ind w:right="100" w:firstLine="8"/>
        <w:spacing w:after="0" w:line="252"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 As of December 31, 2017, although we had a working capital deficit of $531 million, we had approximately $3.0 billion of liquidity available to meet our ongoing operating, investing and financing needs, subject to continued covenant compliance, as noted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269"/>
        </w:trPr>
        <w:tc>
          <w:tcPr>
            <w:tcW w:w="530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Availability under senior unsecured revolving credit facility </w:t>
            </w:r>
            <w:r>
              <w:rPr>
                <w:rFonts w:ascii="Times New Roman" w:cs="Times New Roman" w:eastAsia="Times New Roman" w:hAnsi="Times New Roman"/>
                <w:sz w:val="25"/>
                <w:szCs w:val="25"/>
                <w:color w:val="auto"/>
                <w:vertAlign w:val="superscript"/>
              </w:rPr>
              <w:t>(1) (2)</w:t>
            </w:r>
          </w:p>
        </w:tc>
        <w:tc>
          <w:tcPr>
            <w:tcW w:w="4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70"/>
        </w:trPr>
        <w:tc>
          <w:tcPr>
            <w:tcW w:w="530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Availability under senior secured hedged inventory facility </w:t>
            </w:r>
            <w:r>
              <w:rPr>
                <w:rFonts w:ascii="Times New Roman" w:cs="Times New Roman" w:eastAsia="Times New Roman" w:hAnsi="Times New Roman"/>
                <w:sz w:val="25"/>
                <w:szCs w:val="25"/>
                <w:color w:val="auto"/>
                <w:vertAlign w:val="superscript"/>
              </w:rPr>
              <w:t>(1) (2)</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Availability under senior unsecured 364-day revolving credit facility</w:t>
            </w:r>
          </w:p>
        </w:tc>
        <w:tc>
          <w:tcPr>
            <w:tcW w:w="4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4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373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60" w:type="dxa"/>
            <w:vAlign w:val="bottom"/>
            <w:tcBorders>
              <w:bottom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4320" w:type="dxa"/>
            <w:vAlign w:val="bottom"/>
            <w:tcBorders>
              <w:bottom w:val="single" w:sz="8" w:color="CCEEFF"/>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hanging="652"/>
        <w:spacing w:after="0" w:line="218" w:lineRule="auto"/>
        <w:tabs>
          <w:tab w:leader="none" w:pos="660" w:val="left"/>
        </w:tabs>
        <w:numPr>
          <w:ilvl w:val="0"/>
          <w:numId w:val="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availability prior to giving effect to amounts outstanding under our commercial paper program, which reduce available capacity under the facilities.</w:t>
      </w:r>
    </w:p>
    <w:p>
      <w:pPr>
        <w:spacing w:after="0" w:line="91" w:lineRule="exact"/>
        <w:rPr>
          <w:rFonts w:ascii="Times New Roman" w:cs="Times New Roman" w:eastAsia="Times New Roman" w:hAnsi="Times New Roman"/>
          <w:sz w:val="25"/>
          <w:szCs w:val="25"/>
          <w:color w:val="auto"/>
          <w:vertAlign w:val="superscript"/>
        </w:rPr>
      </w:pPr>
    </w:p>
    <w:p>
      <w:pPr>
        <w:ind w:left="660" w:right="140" w:hanging="652"/>
        <w:spacing w:after="0" w:line="218" w:lineRule="auto"/>
        <w:tabs>
          <w:tab w:leader="none" w:pos="660" w:val="left"/>
        </w:tabs>
        <w:numPr>
          <w:ilvl w:val="0"/>
          <w:numId w:val="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Available capacity under the senior unsecured revolving credit facility and the senior secured hedged inventory facility was reduced by outstanding letters of credit of $66 million and $100 million, respectively.</w:t>
      </w:r>
    </w:p>
    <w:p>
      <w:pPr>
        <w:spacing w:after="0" w:line="19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a financial backstop for our commercial paper program, is subject to ongoing compliance with covenants. As of December 31, 2017, we were in compliance with all such covenants. Also, see Item 1A. “Risk Factors” for further discussion regarding such risks that may impact our liquidity and capital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2017, 2016 and 2015 was approximately $2.5 billion, $0.7 billion and $1.4 billion, respectively, and primarily resulted from earnings from our operations. Additionally, as discussed further below, changes in our inventory levels during these years impacted our cash flow from operating activities.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2017, net cash provided by operating activities for the 2017 period was positively impacted by decreases in (i) the volume of crude oil inventory that we held and (ii) the margin balances required as part of our hedging activities, both of which had been funded by short-term debt. This was consistent with our plan to reduce our hedged inventory volumes, and the cash inflows associated 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2016, we increased our inventory levels and margin balances required as part of our hedging activities that were funded by short-term debt, resulting in an unfavorable impact on our cash provided by operating activities. Furthermore, cash provided by operating activities as compared to prior periods was unfavorably impacted by the decrease in cash from overall earnings.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2015, we increased the amount of our inventory; however, these volumetric increases were largely offset by lower prices for our inventory stored at the end of the year compared to prior year amounts.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Investments, Expansion Capital Expenditures and Divestitures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the near term, we also intend to use proceeds from our asset sales program, as discussed further below. We have made and will continue to make capital expenditures for acquisitions, expansion capital projects and maintenance activities. Also see “—Acquisitions and Capital Projects” for further discussion of such capital expenditures.</w:t>
      </w:r>
    </w:p>
    <w:p>
      <w:pPr>
        <w:spacing w:after="0" w:line="18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The price of acquisitions includes cash paid, assumed liabilities and net working capital items. Because of the non-cash items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total price of the acquisition and the timing of certain cash payments, the net cash paid may differ significantly from the total price of the acquisitions completed during the year. During the years ended December 31, 2017, 2016 and 2015, we paid cash of $1.280 billion (net of cash acquired of $4 million), $282 million (net of cash acquired of $7 million) and $105 million, respectively, for acquisitions.</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Acquisitions completed in 2017 primarily included the ACC System located in the Northern Delaware Basin in Southeastern New Mexico and West Texas.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Additionally, we and an affiliate of Noble Midstream Partners LP completed the acquisition of Advantage Pipeline, L.L.C. through a newly formed 50/50 joint venture. For our 50% share ($66.5 million), we contributed approximately 1.3 million common units and approximately $26 million in cash. See Note 6 to our Consolidated Financial Statements for discussion of our acquisition activities.</w:t>
      </w:r>
    </w:p>
    <w:p>
      <w:pPr>
        <w:spacing w:after="0" w:line="186"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In 2016, we initiated a program to evaluate potential sales of non-core assets and/or sales of partial interests in assets to strategic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partners to optimize our asset portfolio and strengthen our balance sheet and leverage metrics. During the years ended December 31, 2017 and 2016, we received proceeds of $1.083 billion and $569 million (net of $85 million paid for a remaining interest in a pipeline that was subsequently sold during 2016), respectively. Such proceeds were used to fund a portion of our expansion capital projects during each year and for general partnership purposes. See Note 6 to our Consolidated Financial Statements for additional information regarding these asset sales and divestitures.</w:t>
      </w:r>
    </w:p>
    <w:p>
      <w:pPr>
        <w:spacing w:after="0" w:line="180"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2018 Capital Projects. </w:t>
      </w:r>
      <w:r>
        <w:rPr>
          <w:rFonts w:ascii="Times New Roman" w:cs="Times New Roman" w:eastAsia="Times New Roman" w:hAnsi="Times New Roman"/>
          <w:sz w:val="18"/>
          <w:szCs w:val="18"/>
          <w:color w:val="auto"/>
        </w:rPr>
        <w:t>The majority of our 2018 expansion capital program will be invested in our fee-based Transportation and Facilities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that our investments will have minimal contributions to our 2018 results, but will provide growth for 2019 and beyond. Our 2018 capital program includes the following projects as of February 2018 with the estimated cost for the entire year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Permian Basin Takeaway Pipeline Projects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765</w:t>
            </w:r>
          </w:p>
        </w:tc>
      </w:tr>
      <w:tr>
        <w:trPr>
          <w:trHeight w:val="243"/>
        </w:trPr>
        <w:tc>
          <w:tcPr>
            <w:tcW w:w="9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Complementary Permian Basin Projects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3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Selected Facilities Projects </w:t>
            </w:r>
            <w:r>
              <w:rPr>
                <w:rFonts w:ascii="Times New Roman" w:cs="Times New Roman" w:eastAsia="Times New Roman" w:hAnsi="Times New Roman"/>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9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Projects</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gridSpan w:val="2"/>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 xml:space="preserve">Total Projected 2018 Expansion Capital Expenditures </w:t>
            </w:r>
            <w:r>
              <w:rPr>
                <w:rFonts w:ascii="Times New Roman" w:cs="Times New Roman" w:eastAsia="Times New Roman" w:hAnsi="Times New Roman"/>
                <w:sz w:val="25"/>
                <w:szCs w:val="25"/>
                <w:color w:val="auto"/>
                <w:vertAlign w:val="superscript"/>
              </w:rPr>
              <w:t>(2)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projects at our St. James, Fort Saskatchewan and other terminals.</w:t>
      </w:r>
    </w:p>
    <w:p>
      <w:pPr>
        <w:spacing w:after="0" w:line="98" w:lineRule="exact"/>
        <w:rPr>
          <w:rFonts w:ascii="Times New Roman" w:cs="Times New Roman" w:eastAsia="Times New Roman" w:hAnsi="Times New Roman"/>
          <w:sz w:val="25"/>
          <w:szCs w:val="25"/>
          <w:color w:val="auto"/>
          <w:vertAlign w:val="superscript"/>
        </w:rPr>
      </w:pPr>
    </w:p>
    <w:p>
      <w:pPr>
        <w:ind w:left="660" w:right="700" w:hanging="652"/>
        <w:spacing w:after="0" w:line="214" w:lineRule="auto"/>
        <w:tabs>
          <w:tab w:leader="none" w:pos="660" w:val="left"/>
        </w:tabs>
        <w:numPr>
          <w:ilvl w:val="0"/>
          <w:numId w:val="6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reflect our expectation that certain projects will be owned in a joint venture structure with a proportionate share of the project cost dispersed among the partners.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 Commercial Paper Program and Indentures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December 31, 2017, we had four primary credit arrangements. These include a $1.6 billion senior unsecured revolving credit facility maturing in 2022, a $1.4 billion senior secured hedged inventory facility maturing in 2020 and a $1 billion, 364-day senior unsecured credit facility maturing in August 2018. Additionally, we have a $3.0 billion unsecured commercial paper program that is backstopped by our revolving credit facility and our hedged inventory facility. Our credit agreements (which impact our ability to access our commercial paper program because they provide the financial backstop that supports our short-term credit ratings) and the indentures governing our senior notes contain cross-default provisions. A default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2017.</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2017, we had net repayments on our credit facilities and commercial paper program of $654 million. The net repayments resulted primarily from cash flow from operating activities and cash received from our equity activities and asset divestitures, which offset borrowings during the period related to funding needs for (i) acquisition and capital investments, (ii) repayment of our $400 million, 6.13% senior notes in January 2017, (iii) repayment of our $600 million, 6.50% senior notes and our $350 million, 8.75% senior notes in December 2017 and (iv) other general partnership purposes.</w:t>
      </w:r>
    </w:p>
    <w:p>
      <w:pPr>
        <w:spacing w:after="0" w:line="184"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During the year ended December 31, 2016, we had net repayments under our credit facilities and commercial paper program of $759 million. The net repayments resulted primarily from cash flow from operating activities as well as cash received from our equity issuances and asset divestitures, which offset borrowings during the period related to funding needs for (i) inventory purchases and related margin balances required as part of our hedging activities,</w:t>
      </w:r>
    </w:p>
    <w:p>
      <w:pPr>
        <w:spacing w:after="0" w:line="2" w:lineRule="exact"/>
        <w:rPr>
          <w:sz w:val="20"/>
          <w:szCs w:val="20"/>
          <w:color w:val="auto"/>
        </w:rPr>
      </w:pPr>
    </w:p>
    <w:p>
      <w:pPr>
        <w:ind w:right="20" w:firstLine="8"/>
        <w:spacing w:after="0" w:line="261"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investments, (iii) repayment of our $175 million senior notes in August 2016, (iv) repayment of $642 million of borrowings that we assumed under AAP’s senior secured credit agreement in connection with the Simplification Transactions and (v) other general partnership purposes.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had net borrowings under our credit facilities and commercial paper program of $931 million. These net borrowings resulted primarily from funding needs for (i) capital investments, (ii) repayment of senior notes that matured during 2015 and (iii) other general partnership purposes, and were partially offset by repayments from cash received from our debt and equity issuances.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Debt Financing Activities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w:t>
      </w:r>
    </w:p>
    <w:p>
      <w:pPr>
        <w:spacing w:after="0" w:line="17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Registration Statements</w:t>
      </w:r>
      <w:r>
        <w:rPr>
          <w:rFonts w:ascii="Times New Roman" w:cs="Times New Roman" w:eastAsia="Times New Roman" w:hAnsi="Times New Roman"/>
          <w:sz w:val="18"/>
          <w:szCs w:val="18"/>
          <w:color w:val="auto"/>
        </w:rPr>
        <w:t>. We periodically access the capital markets for both equity and debt financing. We have filed with the SEC a universal shelf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that, subject to effectiveness at the time of use, allows us to issue up to an aggregate of $2.0 billion of debt or equity securities (“Traditional Shelf”). All issuances of equity securities associated with our continuous offering program have been issued pursuant to the Traditional Shelf. At December 31, 2017,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The issuance of our Series B preferred units in October 2017, discussed below, was conducted under our WKSI Shelf.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of Preferred Units</w:t>
      </w:r>
    </w:p>
    <w:p>
      <w:pPr>
        <w:spacing w:after="0" w:line="22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In January 2016, we completed the private placement of approximately 61.0 million Series A preferred units at a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$26.25 per unit resulting in total net proceeds to us, after deducting offering expenses and the 2% transaction fee due to the purchasers and including our 2% general partner’s proportionate contribution, of approximately $1.6 billion. We used the net proceeds for capital expenditures, repayment of debt and general partnership purposes.</w:t>
      </w:r>
    </w:p>
    <w:p>
      <w:pPr>
        <w:spacing w:after="0" w:line="18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Commencing on January 28, 2018, the Series A preferred units are convertible at the purchasers’ option into common units on a one-for-one basis, subject to certain conditions, and will be convertible at our option in certain circumstances commencing January 28, 2019. See “Distributions to Our Unitholders ” below and Note 11 to our Consolidated Financial Statements for additional information regarding the Series A preferred units.</w:t>
      </w:r>
    </w:p>
    <w:p>
      <w:pPr>
        <w:spacing w:after="0" w:line="174"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On October 10, 2017, we issued 800,000 Series B preferred units at a price to the public of $1,000 per unit. We used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$788 million, after deducting the underwriters’ discounts and offering expenses, from the issuance of the Series B preferred units to repay amounts outstanding under our credit facilities and commercial paper program and for general partnership purposes, including expenditures for our capital program. See “Distributions to Our Unitholders ” below and Note 11 to our Consolidated Financial Statements for additional information regarding the Series B preferred units.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While our Series A and Series B preferred units are considered equity securities and are classified within partners’ capital on our Consolidated Balance Sheet, two out of the three rating agencies only ascribe 50% equity credit with the remaining 50% considered debt for purposes of determining our credit ratings. The remaining rating agency ascribes 100% equity credit.</w:t>
      </w:r>
    </w:p>
    <w:p>
      <w:pPr>
        <w:spacing w:after="0" w:line="174"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Sales of Common Units</w:t>
      </w:r>
      <w:r>
        <w:rPr>
          <w:rFonts w:ascii="Times New Roman" w:cs="Times New Roman" w:eastAsia="Times New Roman" w:hAnsi="Times New Roman"/>
          <w:sz w:val="18"/>
          <w:szCs w:val="18"/>
          <w:color w:val="auto"/>
        </w:rPr>
        <w:t>. The following table summarizes our issuance of common units during the three years ended December 31, 2017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Borders>
              <w:bottom w:val="single" w:sz="8" w:color="CCEEFF"/>
            </w:tcBorders>
          </w:tcPr>
          <w:p>
            <w:pPr>
              <w:spacing w:after="0"/>
              <w:rPr>
                <w:sz w:val="16"/>
                <w:szCs w:val="16"/>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xml:space="preserve">Net Proceeds </w:t>
            </w:r>
            <w:r>
              <w:rPr>
                <w:rFonts w:ascii="Times New Roman" w:cs="Times New Roman" w:eastAsia="Times New Roman" w:hAnsi="Times New Roman"/>
                <w:sz w:val="8"/>
                <w:szCs w:val="8"/>
                <w:b w:val="1"/>
                <w:bCs w:val="1"/>
                <w:color w:val="auto"/>
              </w:rPr>
              <w:t>(1) (2)</w:t>
            </w:r>
          </w:p>
        </w:tc>
        <w:tc>
          <w:tcPr>
            <w:tcW w:w="340" w:type="dxa"/>
            <w:vAlign w:val="bottom"/>
            <w:tcBorders>
              <w:bottom w:val="single" w:sz="8" w:color="CCEEFF"/>
            </w:tcBorders>
          </w:tcPr>
          <w:p>
            <w:pPr>
              <w:spacing w:after="0"/>
              <w:rPr>
                <w:sz w:val="16"/>
                <w:szCs w:val="16"/>
                <w:color w:val="auto"/>
              </w:rPr>
            </w:pPr>
          </w:p>
        </w:tc>
      </w:tr>
      <w:tr>
        <w:trPr>
          <w:trHeight w:val="249"/>
        </w:trPr>
        <w:tc>
          <w:tcPr>
            <w:tcW w:w="3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Continuous Offering Program</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4,033,567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270"/>
        </w:trPr>
        <w:tc>
          <w:tcPr>
            <w:tcW w:w="3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CEEFF"/>
            </w:tcBorders>
          </w:tcPr>
          <w:p>
            <w:pPr>
              <w:spacing w:after="0"/>
              <w:rPr>
                <w:sz w:val="23"/>
                <w:szCs w:val="23"/>
                <w:color w:val="auto"/>
              </w:rPr>
            </w:pPr>
          </w:p>
        </w:tc>
        <w:tc>
          <w:tcPr>
            <w:tcW w:w="3900" w:type="dxa"/>
            <w:vAlign w:val="bottom"/>
            <w:tcBorders>
              <w:bottom w:val="single" w:sz="8" w:color="CCEEFF"/>
            </w:tcBorders>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7"/>
              </w:rPr>
              <w:t xml:space="preserve">Omnibus Agreement </w:t>
            </w:r>
            <w:r>
              <w:rPr>
                <w:rFonts w:ascii="Times New Roman" w:cs="Times New Roman" w:eastAsia="Times New Roman" w:hAnsi="Times New Roman"/>
                <w:sz w:val="25"/>
                <w:szCs w:val="25"/>
                <w:color w:val="auto"/>
                <w:w w:val="97"/>
                <w:vertAlign w:val="superscript"/>
              </w:rPr>
              <w:t>(4)</w:t>
            </w:r>
          </w:p>
        </w:tc>
        <w:tc>
          <w:tcPr>
            <w:tcW w:w="1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50,086,326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1,535</w:t>
            </w:r>
          </w:p>
        </w:tc>
        <w:tc>
          <w:tcPr>
            <w:tcW w:w="340" w:type="dxa"/>
            <w:vAlign w:val="bottom"/>
            <w:tcBorders>
              <w:bottom w:val="single" w:sz="8" w:color="CCEEFF"/>
            </w:tcBorders>
          </w:tcPr>
          <w:p>
            <w:pPr>
              <w:jc w:val="right"/>
              <w:ind w:right="97"/>
              <w:spacing w:after="0"/>
              <w:rPr>
                <w:sz w:val="20"/>
                <w:szCs w:val="20"/>
                <w:color w:val="auto"/>
              </w:rPr>
            </w:pPr>
            <w:r>
              <w:rPr>
                <w:rFonts w:ascii="Times New Roman" w:cs="Times New Roman" w:eastAsia="Times New Roman" w:hAnsi="Times New Roman"/>
                <w:sz w:val="13"/>
                <w:szCs w:val="13"/>
                <w:color w:val="auto"/>
              </w:rPr>
              <w:t>(5)</w:t>
            </w: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2017 Total</w:t>
            </w:r>
          </w:p>
        </w:tc>
        <w:tc>
          <w:tcPr>
            <w:tcW w:w="3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54,119,893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1,664</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2016 Total</w:t>
            </w:r>
          </w:p>
        </w:tc>
        <w:tc>
          <w:tcPr>
            <w:tcW w:w="3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Continuous Offering Program</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26,278,288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805</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1"/>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0"/>
        </w:trPr>
        <w:tc>
          <w:tcPr>
            <w:tcW w:w="3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Continuous Offering Program</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1,133,904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24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Underwritten Offering</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1,062</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2015 Total</w:t>
            </w:r>
          </w:p>
        </w:tc>
        <w:tc>
          <w:tcPr>
            <w:tcW w:w="3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Continuous Offering Program</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22,133,904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1,121</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are net of costs associated with the offerings.</w:t>
      </w:r>
    </w:p>
    <w:p>
      <w:pPr>
        <w:spacing w:after="0" w:line="98" w:lineRule="exact"/>
        <w:rPr>
          <w:rFonts w:ascii="Times New Roman" w:cs="Times New Roman" w:eastAsia="Times New Roman" w:hAnsi="Times New Roman"/>
          <w:sz w:val="25"/>
          <w:szCs w:val="25"/>
          <w:color w:val="auto"/>
          <w:vertAlign w:val="superscript"/>
        </w:rPr>
      </w:pPr>
    </w:p>
    <w:p>
      <w:pPr>
        <w:ind w:left="660" w:right="260" w:hanging="652"/>
        <w:spacing w:after="0" w:line="214" w:lineRule="auto"/>
        <w:tabs>
          <w:tab w:leader="none" w:pos="660"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 periods prior to the closing of the Simplification Transactions, amounts include our general partner’s proportionate capital contributions of $9 million and $22 million during 2016 and 2015, respectively.</w:t>
      </w:r>
    </w:p>
    <w:p>
      <w:pPr>
        <w:spacing w:after="0" w:line="90" w:lineRule="exact"/>
        <w:rPr>
          <w:rFonts w:ascii="Times New Roman" w:cs="Times New Roman" w:eastAsia="Times New Roman" w:hAnsi="Times New Roman"/>
          <w:sz w:val="25"/>
          <w:szCs w:val="25"/>
          <w:color w:val="auto"/>
          <w:vertAlign w:val="superscript"/>
        </w:rPr>
      </w:pPr>
    </w:p>
    <w:p>
      <w:pPr>
        <w:ind w:left="660" w:right="80" w:hanging="652"/>
        <w:spacing w:after="0" w:line="228" w:lineRule="auto"/>
        <w:tabs>
          <w:tab w:leader="none" w:pos="660"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pay commissions to our sales agents in connection with common unit issuances under our Continuous Offering Program. We paid $1 million, $8 million and $1 million of such commissions during 2017, 2016 and 2015, respectively. The net proceeds from these offerings were used for general partnership purposes.</w:t>
      </w:r>
    </w:p>
    <w:p>
      <w:pPr>
        <w:spacing w:after="0" w:line="89" w:lineRule="exact"/>
        <w:rPr>
          <w:rFonts w:ascii="Times New Roman" w:cs="Times New Roman" w:eastAsia="Times New Roman" w:hAnsi="Times New Roman"/>
          <w:sz w:val="25"/>
          <w:szCs w:val="25"/>
          <w:color w:val="auto"/>
          <w:vertAlign w:val="superscript"/>
        </w:rPr>
      </w:pPr>
    </w:p>
    <w:p>
      <w:pPr>
        <w:ind w:left="660" w:right="60" w:hanging="652"/>
        <w:spacing w:after="0" w:line="236" w:lineRule="auto"/>
        <w:tabs>
          <w:tab w:leader="none" w:pos="660"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Pursuant to the Omnibus Agreement entered into by the Plains Entities in connection with the Simplification Transactions, PAGP has agreed to use the net proceeds from any public or private offering and sale of Class A shares, after deducting the sales agents’ commissions and offering expenses, to purchase from AAP a number of AAP units equal to the number of Class A shares sold in such offering at a price equal to the net proceeds from such offering. The Omnibus Agreement also provides that immediately following such purchase and sale, AAP will use the net proceeds it receives from such sale of AAP units to purchase from us an equivalent number of our common units.</w:t>
      </w:r>
    </w:p>
    <w:p>
      <w:pPr>
        <w:spacing w:after="0" w:line="91" w:lineRule="exact"/>
        <w:rPr>
          <w:rFonts w:ascii="Times New Roman" w:cs="Times New Roman" w:eastAsia="Times New Roman" w:hAnsi="Times New Roman"/>
          <w:sz w:val="25"/>
          <w:szCs w:val="25"/>
          <w:color w:val="auto"/>
          <w:vertAlign w:val="superscript"/>
        </w:rPr>
      </w:pPr>
    </w:p>
    <w:p>
      <w:pPr>
        <w:ind w:left="660" w:right="100" w:hanging="652"/>
        <w:spacing w:after="0" w:line="233" w:lineRule="auto"/>
        <w:tabs>
          <w:tab w:leader="none" w:pos="660"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 We used the net proceeds we received from the sale of such common units for general partnership purposes, including repayment of amounts borrowed to fund the ACC Acquisition.</w:t>
      </w:r>
    </w:p>
    <w:p>
      <w:pPr>
        <w:spacing w:after="0" w:line="90" w:lineRule="exact"/>
        <w:rPr>
          <w:rFonts w:ascii="Times New Roman" w:cs="Times New Roman" w:eastAsia="Times New Roman" w:hAnsi="Times New Roman"/>
          <w:sz w:val="25"/>
          <w:szCs w:val="25"/>
          <w:color w:val="auto"/>
          <w:vertAlign w:val="superscript"/>
        </w:rPr>
      </w:pPr>
    </w:p>
    <w:p>
      <w:pPr>
        <w:ind w:left="660" w:right="40" w:hanging="652"/>
        <w:spacing w:after="0" w:line="218" w:lineRule="auto"/>
        <w:tabs>
          <w:tab w:leader="none" w:pos="660"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 portion of the net proceeds from such offering was used to repay borrowings under our commercial paper program and the remaining net proceeds were used for general partnership purposes, including expenditures for our 2015 capital program.</w:t>
      </w:r>
    </w:p>
    <w:p>
      <w:pPr>
        <w:spacing w:after="0" w:line="19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Issuances of Senior Notes. </w:t>
      </w:r>
      <w:r>
        <w:rPr>
          <w:rFonts w:ascii="Times New Roman" w:cs="Times New Roman" w:eastAsia="Times New Roman" w:hAnsi="Times New Roman"/>
          <w:sz w:val="18"/>
          <w:szCs w:val="18"/>
          <w:color w:val="auto"/>
        </w:rPr>
        <w:t>During 2016 and 2015, we issued senior unsecured notes as summarized in the table below (in millions). We did not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senior unsecured notes during the year ended December 31, 2017.</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vMerge w:val="restart"/>
          </w:tcPr>
          <w:p>
            <w:pPr>
              <w:spacing w:after="0"/>
              <w:rPr>
                <w:sz w:val="13"/>
                <w:szCs w:val="13"/>
                <w:color w:val="auto"/>
              </w:rPr>
            </w:pPr>
          </w:p>
        </w:tc>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Proceeds</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Proceeds</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69"/>
        </w:trPr>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jc w:val="center"/>
              <w:ind w:right="140"/>
              <w:spacing w:after="0" w:line="269" w:lineRule="exact"/>
              <w:rPr>
                <w:sz w:val="20"/>
                <w:szCs w:val="20"/>
                <w:color w:val="auto"/>
              </w:rPr>
            </w:pPr>
            <w:r>
              <w:rPr>
                <w:rFonts w:ascii="Times New Roman" w:cs="Times New Roman" w:eastAsia="Times New Roman" w:hAnsi="Times New Roman"/>
                <w:sz w:val="18"/>
                <w:szCs w:val="18"/>
                <w:color w:val="auto"/>
                <w:w w:val="98"/>
              </w:rPr>
              <w:t xml:space="preserve">4.50% Senior Notes issued at 99.716% of face value </w:t>
            </w:r>
            <w:r>
              <w:rPr>
                <w:rFonts w:ascii="Times New Roman" w:cs="Times New Roman" w:eastAsia="Times New Roman" w:hAnsi="Times New Roman"/>
                <w:sz w:val="25"/>
                <w:szCs w:val="25"/>
                <w:color w:val="auto"/>
                <w:w w:val="98"/>
                <w:vertAlign w:val="superscript"/>
              </w:rPr>
              <w:t>(3)</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jc w:val="center"/>
              <w:ind w:right="140"/>
              <w:spacing w:after="0" w:line="270" w:lineRule="exact"/>
              <w:rPr>
                <w:sz w:val="20"/>
                <w:szCs w:val="20"/>
                <w:color w:val="auto"/>
              </w:rPr>
            </w:pPr>
            <w:r>
              <w:rPr>
                <w:rFonts w:ascii="Times New Roman" w:cs="Times New Roman" w:eastAsia="Times New Roman" w:hAnsi="Times New Roman"/>
                <w:sz w:val="18"/>
                <w:szCs w:val="18"/>
                <w:color w:val="auto"/>
                <w:w w:val="98"/>
              </w:rPr>
              <w:t xml:space="preserve">4.65% Senior Notes issued at 99.846% of face value </w:t>
            </w:r>
            <w:r>
              <w:rPr>
                <w:rFonts w:ascii="Times New Roman" w:cs="Times New Roman" w:eastAsia="Times New Roman" w:hAnsi="Times New Roman"/>
                <w:sz w:val="25"/>
                <w:szCs w:val="25"/>
                <w:color w:val="auto"/>
                <w:w w:val="98"/>
                <w:vertAlign w:val="superscript"/>
              </w:rPr>
              <w:t>(3)</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Face value of notes less the applicable premium or discount (before deducting for initial purchaser discounts, commissions and offering expenses).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7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Face value of notes less the applicable premium or discount, initial purchaser discounts, commissions and offering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60" w:hanging="652"/>
        <w:spacing w:after="0" w:line="218" w:lineRule="auto"/>
        <w:tabs>
          <w:tab w:leader="none" w:pos="660" w:val="left"/>
        </w:tabs>
        <w:numPr>
          <w:ilvl w:val="0"/>
          <w:numId w:val="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used the net proceeds from this offering to repay outstanding borrowings under our credit facilities or commercial paper program and for general partnership purposes.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Repayments of Senior Notes. </w:t>
      </w:r>
      <w:r>
        <w:rPr>
          <w:rFonts w:ascii="Times New Roman" w:cs="Times New Roman" w:eastAsia="Times New Roman" w:hAnsi="Times New Roman"/>
          <w:sz w:val="18"/>
          <w:szCs w:val="18"/>
          <w:color w:val="auto"/>
        </w:rPr>
        <w:t>During the last three years, we repaid the following senior unsecured notes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Borders>
              <w:bottom w:val="single" w:sz="8" w:color="CCEEFF"/>
            </w:tcBorders>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249"/>
        </w:trPr>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$400 million 6.13% Senior Notes due January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w:t>
            </w:r>
          </w:p>
        </w:tc>
      </w:tr>
      <w:tr>
        <w:trPr>
          <w:trHeight w:val="243"/>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21"/>
                <w:szCs w:val="21"/>
                <w:color w:val="auto"/>
              </w:rPr>
            </w:pPr>
          </w:p>
        </w:tc>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$600 million 6.50% Senior Notes due May 2018</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2017</w:t>
            </w: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 (2)</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$350 million 8.75% Senior Notes due May 2019</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2017</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 (2)</w:t>
            </w: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$175 million 5.88% Senior Notes due August 2016</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2016</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w:t>
            </w:r>
          </w:p>
        </w:tc>
      </w:tr>
      <w:tr>
        <w:trPr>
          <w:trHeight w:val="324"/>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 million 5.25% Senior Notes due June 2015</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June 2015</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w:t>
            </w:r>
          </w:p>
        </w:tc>
      </w:tr>
      <w:tr>
        <w:trPr>
          <w:trHeight w:val="243"/>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$400 million 3.95% Senior Notes due September 2015</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2015</w:t>
            </w: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repaid these senior notes with cash on hand and proceeds from borrowings under our credit facilities and commercial paper program.</w:t>
      </w:r>
    </w:p>
    <w:p>
      <w:pPr>
        <w:spacing w:after="0" w:line="98" w:lineRule="exact"/>
        <w:rPr>
          <w:rFonts w:ascii="Times New Roman" w:cs="Times New Roman" w:eastAsia="Times New Roman" w:hAnsi="Times New Roman"/>
          <w:sz w:val="25"/>
          <w:szCs w:val="25"/>
          <w:color w:val="auto"/>
          <w:vertAlign w:val="superscript"/>
        </w:rPr>
      </w:pPr>
    </w:p>
    <w:p>
      <w:pPr>
        <w:ind w:left="660" w:right="1120" w:hanging="652"/>
        <w:spacing w:after="0" w:line="214" w:lineRule="auto"/>
        <w:tabs>
          <w:tab w:leader="none" w:pos="660" w:val="left"/>
        </w:tabs>
        <w:numPr>
          <w:ilvl w:val="0"/>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conjunction with the early redemptions of these senior notes, we recognized a loss of approximately $40 million, recorded to Other income/(expense), net in our Consolidated Statement of Operations.</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repaid these senior notes with proceeds from borrowings under our commercial paper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Our Unitholders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See Note 11 to our Consolidated Financial Statements for details of distributions paid during the three years ended December 31, 2017. Also, see Item 5. “Market for Registrant’s Common Units, Related Unitholder Matters and Issuer Purchases of Equity Securities—Cash Distribution Policy” for additional discussion regarding distributions.</w:t>
      </w:r>
    </w:p>
    <w:p>
      <w:pPr>
        <w:spacing w:after="0" w:line="17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Distributions to our Series A preferred unitholders. </w:t>
      </w:r>
      <w:r>
        <w:rPr>
          <w:rFonts w:ascii="Times New Roman" w:cs="Times New Roman" w:eastAsia="Times New Roman" w:hAnsi="Times New Roman"/>
          <w:sz w:val="18"/>
          <w:szCs w:val="18"/>
          <w:color w:val="auto"/>
        </w:rPr>
        <w:t>Holders of our Series A preferred units are entitled to receive quarterly distributions,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anti-dilution adjustments, of $0.525 per unit ($2.10 per unit annualized), which commenced with the quarter ending March 31, 2016. With respect to each quarter ending on or prior to December 31, 2017, we elected to pay distributions on our Series A preferred units in additional Series A preferred units. Beginning with the distribution with respect to the quarter ending March 31, 2018 (which will be paid in May 2018), we must pay distributions on our Series A preferred units in cash. Subject to certain limitations, following January 28, 2021, the holders of our Series A preferred units may make a one-time election to reset the distribution rate. See Note 11 to our Consolidated Financial Statements for additional information.</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Distributions to our Series B preferred unitholders. </w:t>
      </w:r>
      <w:r>
        <w:rPr>
          <w:rFonts w:ascii="Times New Roman" w:cs="Times New Roman" w:eastAsia="Times New Roman" w:hAnsi="Times New Roman"/>
          <w:sz w:val="18"/>
          <w:szCs w:val="18"/>
          <w:color w:val="auto"/>
        </w:rPr>
        <w:t>Holders of our Series B preferred units, which were issued on October 10, 2017,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when, as and if declared by our general partner out of legally available funds for such purpose, cumulative cash distributions, as applicable. Through and including November 15, 2022, holders are entitled to a distribution equal to $61.25 per unit per year, payable semiannually in arrears on the 15th day of May and November. We paid a pro-rated initial distribution on our Series B preferred units on November 15, 2017 to holders of record at the close of business on November 1, 2017 in an amount equal to approximately $5.9549 per unit (a total distribution of approximately $5 million). See Note 11 to our Consolidated Financial Statements for further discussion of our Series B preferred units, including distribution rates and payment dates after November 15, 2022.</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our common unitholders. </w:t>
      </w:r>
      <w:r>
        <w:rPr>
          <w:rFonts w:ascii="Times New Roman" w:cs="Times New Roman" w:eastAsia="Times New Roman" w:hAnsi="Times New Roman"/>
          <w:sz w:val="18"/>
          <w:szCs w:val="18"/>
          <w:color w:val="auto"/>
        </w:rPr>
        <w:t>On February 14, 2018, we paid a quarterly distribution of $0.30 per common unit ($1.20 per unit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annualized basis). The total distribution of $218 million was paid to unitholders of record as of January 31, 2018, with respect to the quarter ending December 31,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Distributions to our general partner. </w:t>
      </w:r>
      <w:r>
        <w:rPr>
          <w:rFonts w:ascii="Times New Roman" w:cs="Times New Roman" w:eastAsia="Times New Roman" w:hAnsi="Times New Roman"/>
          <w:sz w:val="18"/>
          <w:szCs w:val="18"/>
          <w:color w:val="auto"/>
        </w:rPr>
        <w:t>Prior to the Simplification Transactions, our general partner was entitled, directly or indirectly, to receive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proportional distributions, as well as incentive distributions if the amount we distributed with respect to any quarter exceeded certain specified levels.</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17 to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In the ordinary course of doing business, we purchase crude oil and NGL from third parties under contracts, 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8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well as others due under the specified contractual obligations as of December 31, 2017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 and</w:t>
            </w:r>
          </w:p>
        </w:tc>
        <w:tc>
          <w:tcPr>
            <w:tcW w:w="22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and related interest payments</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9,987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14,438</w:t>
            </w:r>
          </w:p>
        </w:tc>
        <w:tc>
          <w:tcPr>
            <w:tcW w:w="0" w:type="dxa"/>
            <w:vAlign w:val="bottom"/>
          </w:tcPr>
          <w:p>
            <w:pPr>
              <w:spacing w:after="0"/>
              <w:rPr>
                <w:sz w:val="1"/>
                <w:szCs w:val="1"/>
                <w:color w:val="auto"/>
              </w:rPr>
            </w:pPr>
          </w:p>
        </w:tc>
      </w:tr>
      <w:tr>
        <w:trPr>
          <w:trHeight w:val="174"/>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Leases, rights-of-way easements and other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obligations </w:t>
            </w:r>
            <w:r>
              <w:rPr>
                <w:rFonts w:ascii="Times New Roman" w:cs="Times New Roman" w:eastAsia="Times New Roman" w:hAnsi="Times New Roman"/>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 natural gas, NGL and 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shd w:val="clear" w:color="auto" w:fill="CCEEFF"/>
          </w:tcPr>
          <w:p>
            <w:pPr>
              <w:ind w:left="200"/>
              <w:spacing w:after="0" w:line="262" w:lineRule="exact"/>
              <w:rPr>
                <w:sz w:val="20"/>
                <w:szCs w:val="20"/>
                <w:color w:val="auto"/>
              </w:rPr>
            </w:pPr>
            <w:r>
              <w:rPr>
                <w:rFonts w:ascii="Times New Roman" w:cs="Times New Roman" w:eastAsia="Times New Roman" w:hAnsi="Times New Roman"/>
                <w:sz w:val="18"/>
                <w:szCs w:val="18"/>
                <w:color w:val="auto"/>
              </w:rPr>
              <w:t xml:space="preserve">purchases </w:t>
            </w:r>
            <w:r>
              <w:rPr>
                <w:rFonts w:ascii="Times New Roman" w:cs="Times New Roman" w:eastAsia="Times New Roman" w:hAnsi="Times New Roman"/>
                <w:sz w:val="25"/>
                <w:szCs w:val="25"/>
                <w:color w:val="auto"/>
                <w:vertAlign w:val="superscript"/>
              </w:rPr>
              <w:t>(4)</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9,032</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34,975</w:t>
            </w:r>
          </w:p>
        </w:tc>
        <w:tc>
          <w:tcPr>
            <w:tcW w:w="0" w:type="dxa"/>
            <w:vAlign w:val="bottom"/>
          </w:tcPr>
          <w:p>
            <w:pPr>
              <w:spacing w:after="0"/>
              <w:rPr>
                <w:sz w:val="1"/>
                <w:szCs w:val="1"/>
                <w:color w:val="auto"/>
              </w:rPr>
            </w:pPr>
          </w:p>
        </w:tc>
      </w:tr>
      <w:tr>
        <w:trPr>
          <w:trHeight w:val="257"/>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5,027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19,834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51,822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5044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right="120" w:hanging="652"/>
        <w:spacing w:after="0" w:line="236" w:lineRule="auto"/>
        <w:tabs>
          <w:tab w:leader="none" w:pos="66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debt service payments, interest payments due on senior notes and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credit facilities or commercial paper program) in the amounts above. For additional information regarding our debt obligations, see Note 10 to our Consolidated Financial Statements.</w:t>
      </w:r>
    </w:p>
    <w:p>
      <w:pPr>
        <w:spacing w:after="0" w:line="91" w:lineRule="exact"/>
        <w:rPr>
          <w:rFonts w:ascii="Times New Roman" w:cs="Times New Roman" w:eastAsia="Times New Roman" w:hAnsi="Times New Roman"/>
          <w:sz w:val="25"/>
          <w:szCs w:val="25"/>
          <w:color w:val="auto"/>
          <w:vertAlign w:val="superscript"/>
        </w:rPr>
      </w:pPr>
    </w:p>
    <w:p>
      <w:pPr>
        <w:ind w:left="660" w:right="380" w:hanging="652"/>
        <w:spacing w:after="0" w:line="218" w:lineRule="auto"/>
        <w:tabs>
          <w:tab w:leader="none" w:pos="66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1" w:lineRule="exact"/>
        <w:rPr>
          <w:rFonts w:ascii="Times New Roman" w:cs="Times New Roman" w:eastAsia="Times New Roman" w:hAnsi="Times New Roman"/>
          <w:sz w:val="25"/>
          <w:szCs w:val="25"/>
          <w:color w:val="auto"/>
          <w:vertAlign w:val="superscript"/>
        </w:rPr>
      </w:pPr>
    </w:p>
    <w:p>
      <w:pPr>
        <w:ind w:left="660" w:right="20" w:hanging="652"/>
        <w:spacing w:after="0" w:line="233" w:lineRule="auto"/>
        <w:tabs>
          <w:tab w:leader="none" w:pos="660" w:val="left"/>
        </w:tabs>
        <w:numPr>
          <w:ilvl w:val="0"/>
          <w:numId w:val="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$760 million associated with an agreement to transport crude oil at posted tariff rates on a pipeline that is owned by an equity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20"/>
          </w:cols>
          <w:pgMar w:left="240" w:top="121"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left="660" w:right="420"/>
        <w:spacing w:after="0" w:line="329" w:lineRule="auto"/>
        <w:rPr>
          <w:sz w:val="20"/>
          <w:szCs w:val="20"/>
          <w:color w:val="auto"/>
        </w:rPr>
      </w:pPr>
      <w:r>
        <w:rPr>
          <w:rFonts w:ascii="Times New Roman" w:cs="Times New Roman" w:eastAsia="Times New Roman" w:hAnsi="Times New Roman"/>
          <w:sz w:val="18"/>
          <w:szCs w:val="18"/>
          <w:color w:val="auto"/>
        </w:rPr>
        <w:t>method investee, in which we own a 50% interest. Our commitment to transport is supported by crude oil buy/sell agreements with third parties (including Oxy) with commensurate quantities.</w:t>
      </w:r>
    </w:p>
    <w:p>
      <w:pPr>
        <w:spacing w:after="0" w:line="27" w:lineRule="exact"/>
        <w:rPr>
          <w:sz w:val="20"/>
          <w:szCs w:val="20"/>
          <w:color w:val="auto"/>
        </w:rPr>
      </w:pPr>
    </w:p>
    <w:p>
      <w:pPr>
        <w:ind w:left="660" w:right="80" w:hanging="652"/>
        <w:spacing w:after="0" w:line="228" w:lineRule="auto"/>
        <w:tabs>
          <w:tab w:leader="none" w:pos="660" w:val="left"/>
        </w:tabs>
        <w:numPr>
          <w:ilvl w:val="0"/>
          <w:numId w:val="7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December 2017.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supply and logistics activities, we provide certain suppliers with irrevocable standby letters of credit to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2017 and 2016, we had outstanding letters of credit of approximately $166 million and $73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invested in entities that are not consolidated in our financial statements. None of these entities are borrowers under credit facilities, and we are neither a co-borrower nor a guarantor under any facilities of such entities. We may elect at any time to make additional capital contributions to any of these entities. The following table sets forth selected information regarding these entities as of December 31, 2017 (unaudited, dollars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Our</w:t>
            </w: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220" w:type="dxa"/>
            <w:vAlign w:val="bottom"/>
          </w:tcPr>
          <w:p>
            <w:pPr>
              <w:spacing w:after="0"/>
              <w:rPr>
                <w:sz w:val="13"/>
                <w:szCs w:val="13"/>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20" w:type="dxa"/>
            <w:vAlign w:val="bottom"/>
            <w:vMerge w:val="restart"/>
          </w:tcPr>
          <w:p>
            <w:pPr>
              <w:spacing w:after="0"/>
              <w:rPr>
                <w:sz w:val="12"/>
                <w:szCs w:val="12"/>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20" w:type="dxa"/>
            <w:vAlign w:val="bottom"/>
            <w:vMerge w:val="restart"/>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20" w:type="dxa"/>
            <w:vAlign w:val="bottom"/>
          </w:tcPr>
          <w:p>
            <w:pPr>
              <w:spacing w:after="0"/>
              <w:rPr>
                <w:sz w:val="12"/>
                <w:szCs w:val="12"/>
                <w:color w:val="auto"/>
              </w:rPr>
            </w:pPr>
          </w:p>
        </w:tc>
        <w:tc>
          <w:tcPr>
            <w:tcW w:w="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Advantage Pipeline, L.L.C.</w:t>
            </w:r>
          </w:p>
        </w:tc>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BridgeTex Pipeline Company, LLC</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Caddo Pipeline LLC</w:t>
            </w:r>
          </w:p>
        </w:tc>
        <w:tc>
          <w:tcPr>
            <w:tcW w:w="3220" w:type="dxa"/>
            <w:vAlign w:val="bottom"/>
            <w:gridSpan w:val="2"/>
            <w:shd w:val="clear" w:color="auto" w:fill="CCEEFF"/>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Cheyenne Pipeline LLC</w:t>
            </w:r>
          </w:p>
        </w:tc>
        <w:tc>
          <w:tcPr>
            <w:tcW w:w="322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Diamond Pipeline LLC</w:t>
            </w:r>
          </w:p>
        </w:tc>
        <w:tc>
          <w:tcPr>
            <w:tcW w:w="3220" w:type="dxa"/>
            <w:vAlign w:val="bottom"/>
            <w:gridSpan w:val="2"/>
            <w:shd w:val="clear" w:color="auto" w:fill="CCEEFF"/>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Eagle Ford Pipeline LLC</w:t>
            </w:r>
          </w:p>
        </w:tc>
        <w:tc>
          <w:tcPr>
            <w:tcW w:w="322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3220" w:type="dxa"/>
            <w:vAlign w:val="bottom"/>
            <w:gridSpan w:val="2"/>
            <w:shd w:val="clear" w:color="auto" w:fill="CCEEFF"/>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6"/>
              </w:rPr>
              <w:t xml:space="preserve">Crude Oil Terminal and Dock </w:t>
            </w:r>
            <w:r>
              <w:rPr>
                <w:rFonts w:ascii="Times New Roman" w:cs="Times New Roman" w:eastAsia="Times New Roman" w:hAnsi="Times New Roman"/>
                <w:sz w:val="25"/>
                <w:szCs w:val="25"/>
                <w:color w:val="auto"/>
                <w:w w:val="96"/>
                <w:vertAlign w:val="superscript"/>
              </w:rPr>
              <w:t>(2)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Midway Pipeline LLC</w:t>
            </w:r>
          </w:p>
        </w:tc>
        <w:tc>
          <w:tcPr>
            <w:tcW w:w="322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Saddlehorn Pipeline Company, LLC</w:t>
            </w:r>
          </w:p>
        </w:tc>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Settoon Towing, LLC</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Barge Transportation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STACK Pipeline LLC</w:t>
            </w:r>
          </w:p>
        </w:tc>
        <w:tc>
          <w:tcPr>
            <w:tcW w:w="3220" w:type="dxa"/>
            <w:vAlign w:val="bottom"/>
            <w:gridSpan w:val="2"/>
            <w:shd w:val="clear" w:color="auto" w:fill="CCEEFF"/>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5"/>
                <w:szCs w:val="25"/>
                <w:color w:val="auto"/>
                <w:w w:val="96"/>
                <w:vertAlign w:val="superscript"/>
              </w:rPr>
              <w:t>(1)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14"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serve as operator of the pipeline.</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Asset is currently under construction by the entity and has not yet been placed in service.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115"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119" w:lineRule="exact"/>
        <w:rPr>
          <w:rFonts w:ascii="Times New Roman" w:cs="Times New Roman" w:eastAsia="Times New Roman" w:hAnsi="Times New Roman"/>
          <w:sz w:val="13"/>
          <w:szCs w:val="13"/>
          <w:i w:val="1"/>
          <w:iCs w:val="1"/>
          <w:color w:val="auto"/>
        </w:rPr>
      </w:pPr>
    </w:p>
    <w:p>
      <w:pPr>
        <w:ind w:left="980" w:right="200"/>
        <w:spacing w:after="0" w:line="266" w:lineRule="auto"/>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66" w:lineRule="exact"/>
        <w:rPr>
          <w:rFonts w:ascii="Times New Roman" w:cs="Times New Roman" w:eastAsia="Times New Roman" w:hAnsi="Times New Roman"/>
          <w:sz w:val="13"/>
          <w:szCs w:val="13"/>
          <w:i w:val="1"/>
          <w:iCs w:val="1"/>
          <w:color w:val="auto"/>
        </w:rPr>
      </w:pPr>
    </w:p>
    <w:p>
      <w:pPr>
        <w:ind w:left="980" w:hanging="324"/>
        <w:spacing w:after="0"/>
        <w:tabs>
          <w:tab w:leader="none" w:pos="9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i w:val="1"/>
          <w:iCs w:val="1"/>
          <w:u w:val="single" w:color="auto"/>
          <w:color w:val="auto"/>
        </w:rPr>
        <w:t>Natural gas</w:t>
      </w:r>
    </w:p>
    <w:p>
      <w:pPr>
        <w:spacing w:after="0" w:line="119" w:lineRule="exact"/>
        <w:rPr>
          <w:rFonts w:ascii="Times New Roman" w:cs="Times New Roman" w:eastAsia="Times New Roman" w:hAnsi="Times New Roman"/>
          <w:sz w:val="13"/>
          <w:szCs w:val="13"/>
          <w:color w:val="auto"/>
        </w:rPr>
      </w:pPr>
    </w:p>
    <w:p>
      <w:pPr>
        <w:ind w:left="980" w:right="220"/>
        <w:spacing w:after="0" w:line="2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66" w:lineRule="exact"/>
        <w:rPr>
          <w:rFonts w:ascii="Times New Roman" w:cs="Times New Roman" w:eastAsia="Times New Roman" w:hAnsi="Times New Roman"/>
          <w:sz w:val="13"/>
          <w:szCs w:val="13"/>
          <w:color w:val="auto"/>
        </w:rPr>
      </w:pPr>
    </w:p>
    <w:p>
      <w:pPr>
        <w:ind w:left="980" w:hanging="324"/>
        <w:spacing w:after="0"/>
        <w:tabs>
          <w:tab w:leader="none" w:pos="9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i w:val="1"/>
          <w:iCs w:val="1"/>
          <w:u w:val="single" w:color="auto"/>
          <w:color w:val="auto"/>
        </w:rPr>
        <w:t>NGL and other</w:t>
      </w:r>
    </w:p>
    <w:p>
      <w:pPr>
        <w:spacing w:after="0" w:line="119" w:lineRule="exact"/>
        <w:rPr>
          <w:rFonts w:ascii="Times New Roman" w:cs="Times New Roman" w:eastAsia="Times New Roman" w:hAnsi="Times New Roman"/>
          <w:sz w:val="13"/>
          <w:szCs w:val="13"/>
          <w:color w:val="auto"/>
        </w:rPr>
      </w:pPr>
    </w:p>
    <w:p>
      <w:pPr>
        <w:ind w:left="980" w:right="40"/>
        <w:spacing w:after="0" w:line="2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12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December 31, 2017 that would be expected from a 10% price increase or decrease is shown in the table below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200" w:type="dxa"/>
            <w:vAlign w:val="bottom"/>
          </w:tcPr>
          <w:p>
            <w:pPr>
              <w:spacing w:after="0"/>
              <w:rPr>
                <w:sz w:val="13"/>
                <w:szCs w:val="13"/>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2017, approximately $911 million, was subject to interest rate re-sets that range from less than one week to approximately three weeks. The average interest rate on variable rate debt that was outstanding during the year ended December 31, 2017 was 2.1%, based upon rates in effect during the year. The fair value of our interest rate derivatives was a liability of $36 million as of December 31, 2017. A 10% increase in the forward LIBOR curve as of December 31, 2017 would have resulted in an increase of $32 million to the fair value of our interest rate derivatives. A 10% decrease in the forward LIBOR curve as of December 31, 2017 would have resulted in a decrease of $32 million to the fair value of our interest rate derivatives. See Note 12 to our Consolidated Financial Statements for a discussion of our interest rate risk hedging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$4 million as of December 31, 2017. A 10% increase in the exchange rate (USD-to-CAD) would have resulted in a decrease of $56 million to the fair value of our foreign currency derivatives. A 10% decrease in the exchange rate (USD-to-CAD) would have resulted in an increase of $56 million to the fair value of our foreign currency derivatives. See Note 12 to our Consolidated Financial Statements for a discussion of our currency exchange rate risk hedging.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Distribution Rate Reset Option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Preferred Distribution Rate Reset Option of our Series A preferred units is an embedded derivative that must be bifurcated from the related host contract, our partnership agreement, and recorded at fair value on our Consolidated Balance Sheets. The valuation model utilized for this embedded derivative contains inputs including our common unit price, ten-year U.S. treasury rates and default probabilities to ultimately calculate the fair value of our Series A preferred units with and without the Preferred Distribution Rate Reset Option. The fair value of this embedded derivative was a liability of $22 million as of December 31, 2017. A 10% increase or decrease in the fair value would have an impact of $2 million. See Note 12 to our Consolidated Financial Statements for a discussion of embedded derivatives.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2017, the end of the period covered by this report, and, based on such evaluation, our Chief Executive Officer and Chief Financial Officer have concluded that our DCP is effective.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2017. See “Management’s Report on Internal Control Over Financial Reporting” on page F-2 of our Consolidated Financial Statements.</w:t>
      </w:r>
    </w:p>
    <w:p>
      <w:pPr>
        <w:spacing w:after="0" w:line="18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assessed the effectiveness of our internal control over financial reporting, as stated in the firm’s report. See “</w:t>
      </w:r>
      <w:r>
        <w:rPr>
          <w:rFonts w:ascii="Times New Roman" w:cs="Times New Roman" w:eastAsia="Times New Roman" w:hAnsi="Times New Roman"/>
          <w:sz w:val="17"/>
          <w:szCs w:val="17"/>
          <w:color w:val="auto"/>
        </w:rPr>
        <w:t>Report of Independent Registered Public Accounting Firm</w:t>
      </w:r>
      <w:r>
        <w:rPr>
          <w:rFonts w:ascii="Times New Roman" w:cs="Times New Roman" w:eastAsia="Times New Roman" w:hAnsi="Times New Roman"/>
          <w:sz w:val="18"/>
          <w:szCs w:val="18"/>
          <w:color w:val="auto"/>
        </w:rPr>
        <w:t>” on page F-3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2017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information that was required to be disclosed in a report on Form 8-K during the fourth quarter of 2017 that has not previously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80"/>
          </w:cols>
          <w:pgMar w:left="240" w:top="121" w:right="27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filing this report, the following individuals were serving as our executive officers (for purposes of Item 401(b) of Regulation 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directors: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tc>
      </w:tr>
      <w:tr>
        <w:trPr>
          <w:trHeight w:val="269"/>
        </w:trPr>
        <w:tc>
          <w:tcPr>
            <w:tcW w:w="264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Greg L. Armstrong</w:t>
            </w:r>
            <w:r>
              <w:rPr>
                <w:rFonts w:ascii="Times New Roman" w:cs="Times New Roman" w:eastAsia="Times New Roman" w:hAnsi="Times New Roman"/>
                <w:sz w:val="25"/>
                <w:szCs w:val="25"/>
                <w:color w:val="auto"/>
                <w:vertAlign w:val="superscript"/>
              </w:rPr>
              <w:t>(1)(2)</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26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Harry N. Pefanis</w:t>
            </w:r>
            <w:r>
              <w:rPr>
                <w:rFonts w:ascii="Times New Roman" w:cs="Times New Roman" w:eastAsia="Times New Roman" w:hAnsi="Times New Roman"/>
                <w:sz w:val="25"/>
                <w:szCs w:val="25"/>
                <w:color w:val="auto"/>
                <w:vertAlign w:val="superscript"/>
              </w:rPr>
              <w:t>(1)(2)</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Commercial Officer and Director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Willie Chiang</w:t>
            </w:r>
            <w:r>
              <w:rPr>
                <w:rFonts w:ascii="Times New Roman" w:cs="Times New Roman" w:eastAsia="Times New Roman" w:hAnsi="Times New Roman"/>
                <w:sz w:val="25"/>
                <w:szCs w:val="25"/>
                <w:color w:val="auto"/>
                <w:vertAlign w:val="superscript"/>
              </w:rPr>
              <w:t>(1)(2)</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 and Director</w:t>
            </w:r>
          </w:p>
        </w:tc>
      </w:tr>
      <w:tr>
        <w:trPr>
          <w:trHeight w:val="270"/>
        </w:trPr>
        <w:tc>
          <w:tcPr>
            <w:tcW w:w="26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Al Swanson</w:t>
            </w:r>
            <w:r>
              <w:rPr>
                <w:rFonts w:ascii="Times New Roman" w:cs="Times New Roman" w:eastAsia="Times New Roman" w:hAnsi="Times New Roman"/>
                <w:sz w:val="25"/>
                <w:szCs w:val="25"/>
                <w:color w:val="auto"/>
                <w:vertAlign w:val="superscript"/>
              </w:rPr>
              <w:t>(1)</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Richard K. McGee</w:t>
            </w:r>
            <w:r>
              <w:rPr>
                <w:rFonts w:ascii="Times New Roman" w:cs="Times New Roman" w:eastAsia="Times New Roman" w:hAnsi="Times New Roman"/>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70"/>
        </w:trPr>
        <w:tc>
          <w:tcPr>
            <w:tcW w:w="26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Daniel J. Nerbonne</w:t>
            </w:r>
            <w:r>
              <w:rPr>
                <w:rFonts w:ascii="Times New Roman" w:cs="Times New Roman" w:eastAsia="Times New Roman" w:hAnsi="Times New Roman"/>
                <w:sz w:val="25"/>
                <w:szCs w:val="25"/>
                <w:color w:val="auto"/>
                <w:vertAlign w:val="superscript"/>
              </w:rPr>
              <w:t>(1)</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Operations and Engineering</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Chris Herbold</w:t>
            </w:r>
            <w:r>
              <w:rPr>
                <w:rFonts w:ascii="Times New Roman" w:cs="Times New Roman" w:eastAsia="Times New Roman" w:hAnsi="Times New Roman"/>
                <w:sz w:val="25"/>
                <w:szCs w:val="25"/>
                <w:color w:val="auto"/>
                <w:vertAlign w:val="superscript"/>
              </w:rPr>
              <w:t>(1)</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Accounting and Chief Accounting Officer</w:t>
            </w:r>
          </w:p>
        </w:tc>
      </w:tr>
      <w:tr>
        <w:trPr>
          <w:trHeight w:val="270"/>
        </w:trPr>
        <w:tc>
          <w:tcPr>
            <w:tcW w:w="26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Oscar K. Brown</w:t>
            </w:r>
            <w:r>
              <w:rPr>
                <w:rFonts w:ascii="Times New Roman" w:cs="Times New Roman" w:eastAsia="Times New Roman" w:hAnsi="Times New Roman"/>
                <w:sz w:val="25"/>
                <w:szCs w:val="25"/>
                <w:color w:val="auto"/>
                <w:vertAlign w:val="superscript"/>
              </w:rPr>
              <w:t>(2)</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Strategy and Development, Occidental Petroleum Corporation</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Victor Burk</w:t>
            </w:r>
            <w:r>
              <w:rPr>
                <w:rFonts w:ascii="Times New Roman" w:cs="Times New Roman" w:eastAsia="Times New Roman" w:hAnsi="Times New Roman"/>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Managing Director, Alvarez and Marsal</w:t>
            </w:r>
          </w:p>
        </w:tc>
      </w:tr>
      <w:tr>
        <w:trPr>
          <w:trHeight w:val="270"/>
        </w:trPr>
        <w:tc>
          <w:tcPr>
            <w:tcW w:w="26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Everardo Goyanes</w:t>
            </w:r>
            <w:r>
              <w:rPr>
                <w:rFonts w:ascii="Times New Roman" w:cs="Times New Roman" w:eastAsia="Times New Roman" w:hAnsi="Times New Roman"/>
                <w:sz w:val="25"/>
                <w:szCs w:val="25"/>
                <w:color w:val="auto"/>
                <w:vertAlign w:val="superscript"/>
              </w:rPr>
              <w:t>(2)</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Founder, Ex Cathedra LLC</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Gary R. Petersen</w:t>
            </w:r>
            <w:r>
              <w:rPr>
                <w:rFonts w:ascii="Times New Roman" w:cs="Times New Roman" w:eastAsia="Times New Roman" w:hAnsi="Times New Roman"/>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Managing Partner, EnCap Investments L.P.</w:t>
            </w:r>
          </w:p>
        </w:tc>
      </w:tr>
      <w:tr>
        <w:trPr>
          <w:trHeight w:val="270"/>
        </w:trPr>
        <w:tc>
          <w:tcPr>
            <w:tcW w:w="26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John T. Raymond</w:t>
            </w:r>
            <w:r>
              <w:rPr>
                <w:rFonts w:ascii="Times New Roman" w:cs="Times New Roman" w:eastAsia="Times New Roman" w:hAnsi="Times New Roman"/>
                <w:sz w:val="25"/>
                <w:szCs w:val="25"/>
                <w:color w:val="auto"/>
                <w:vertAlign w:val="superscript"/>
              </w:rPr>
              <w:t>(2)</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and Chief Executive Officer, The Energy &amp; Minerals Group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Bobby S. Shackouls</w:t>
            </w:r>
            <w:r>
              <w:rPr>
                <w:rFonts w:ascii="Times New Roman" w:cs="Times New Roman" w:eastAsia="Times New Roman" w:hAnsi="Times New Roman"/>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Chairman and CEO, Burlington Resources Inc.</w:t>
            </w:r>
          </w:p>
        </w:tc>
      </w:tr>
      <w:tr>
        <w:trPr>
          <w:trHeight w:val="270"/>
        </w:trPr>
        <w:tc>
          <w:tcPr>
            <w:tcW w:w="26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Robert V. Sinnott</w:t>
            </w:r>
            <w:r>
              <w:rPr>
                <w:rFonts w:ascii="Times New Roman" w:cs="Times New Roman" w:eastAsia="Times New Roman" w:hAnsi="Times New Roman"/>
                <w:sz w:val="25"/>
                <w:szCs w:val="25"/>
                <w:color w:val="auto"/>
                <w:vertAlign w:val="superscript"/>
              </w:rPr>
              <w:t>(2)</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Co-Chairman, Kayne Anderson Capital Advisors, L.P.</w:t>
            </w: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J. Taft Symonds</w:t>
            </w:r>
            <w:r>
              <w:rPr>
                <w:rFonts w:ascii="Times New Roman" w:cs="Times New Roman" w:eastAsia="Times New Roman" w:hAnsi="Times New Roman"/>
                <w:sz w:val="25"/>
                <w:szCs w:val="25"/>
                <w:color w:val="auto"/>
                <w:vertAlign w:val="superscript"/>
              </w:rPr>
              <w:t>(2)</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Symonds Investment Company, Inc.</w:t>
            </w:r>
          </w:p>
        </w:tc>
      </w:tr>
      <w:tr>
        <w:trPr>
          <w:trHeight w:val="341"/>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Christopher M. Temple</w:t>
            </w:r>
            <w:r>
              <w:rPr>
                <w:rFonts w:ascii="Times New Roman" w:cs="Times New Roman" w:eastAsia="Times New Roman" w:hAnsi="Times New Roman"/>
                <w:sz w:val="25"/>
                <w:szCs w:val="25"/>
                <w:color w:val="auto"/>
                <w:vertAlign w:val="superscript"/>
              </w:rPr>
              <w:t>(2)</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DelTex Capital LLC</w:t>
            </w:r>
          </w:p>
        </w:tc>
      </w:tr>
    </w:tbl>
    <w:p>
      <w:pPr>
        <w:spacing w:after="0" w:line="127" w:lineRule="exact"/>
        <w:rPr>
          <w:sz w:val="20"/>
          <w:szCs w:val="20"/>
          <w:color w:val="auto"/>
        </w:rPr>
      </w:pPr>
    </w:p>
    <w:p>
      <w:pPr>
        <w:ind w:left="740" w:hanging="651"/>
        <w:spacing w:after="0"/>
        <w:tabs>
          <w:tab w:leader="none" w:pos="740" w:val="left"/>
        </w:tabs>
        <w:numPr>
          <w:ilvl w:val="0"/>
          <w:numId w:val="7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Executive officer (for purposes of Item 401(b) of Regulation S-K)</w:t>
      </w:r>
    </w:p>
    <w:p>
      <w:pPr>
        <w:spacing w:after="0" w:line="1" w:lineRule="exact"/>
        <w:rPr>
          <w:rFonts w:ascii="Times New Roman" w:cs="Times New Roman" w:eastAsia="Times New Roman" w:hAnsi="Times New Roman"/>
          <w:sz w:val="25"/>
          <w:szCs w:val="25"/>
          <w:color w:val="auto"/>
          <w:vertAlign w:val="superscript"/>
        </w:rPr>
      </w:pPr>
    </w:p>
    <w:p>
      <w:pPr>
        <w:ind w:left="740" w:hanging="651"/>
        <w:spacing w:after="0" w:line="186" w:lineRule="auto"/>
        <w:tabs>
          <w:tab w:leader="none" w:pos="740" w:val="left"/>
        </w:tabs>
        <w:numPr>
          <w:ilvl w:val="0"/>
          <w:numId w:val="7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3323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complete list of our officers, including the executive officers listed above, is available on our website at plainsallamerican.com under Investor Relations - Company Information -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Unitholder Matters</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2018 Annual Meeting, which will be filed with the SEC within 120 days after the end of the fiscal year ended December 31, 2017, and is incorporated herein by reference thereto.</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60"/>
          </w:cols>
          <w:pgMar w:left="240" w:top="121" w:right="29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5" w:lineRule="exact"/>
        <w:rPr>
          <w:sz w:val="20"/>
          <w:szCs w:val="20"/>
          <w:color w:val="auto"/>
        </w:rPr>
      </w:pPr>
    </w:p>
    <w:p>
      <w:pPr>
        <w:ind w:left="600" w:hanging="268"/>
        <w:spacing w:after="0"/>
        <w:tabs>
          <w:tab w:leader="none" w:pos="6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Financial Statements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set forth on Page F-1.</w:t>
      </w:r>
    </w:p>
    <w:p>
      <w:pPr>
        <w:spacing w:after="0" w:line="223" w:lineRule="exact"/>
        <w:rPr>
          <w:sz w:val="20"/>
          <w:szCs w:val="20"/>
          <w:color w:val="auto"/>
        </w:rPr>
      </w:pPr>
    </w:p>
    <w:p>
      <w:pPr>
        <w:ind w:left="1040" w:hanging="384"/>
        <w:spacing w:after="0"/>
        <w:tabs>
          <w:tab w:leader="none" w:pos="10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either not applicable or the required information is shown in the Consolidated Financial Statements or notes thereto.</w:t>
      </w:r>
    </w:p>
    <w:p>
      <w:pPr>
        <w:spacing w:after="0" w:line="160" w:lineRule="exact"/>
        <w:rPr>
          <w:sz w:val="20"/>
          <w:szCs w:val="20"/>
          <w:color w:val="auto"/>
        </w:rPr>
      </w:pPr>
    </w:p>
    <w:p>
      <w:pPr>
        <w:ind w:left="1040" w:hanging="384"/>
        <w:spacing w:after="0"/>
        <w:tabs>
          <w:tab w:leader="none" w:pos="10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40" w:type="dxa"/>
            <w:vAlign w:val="bottom"/>
            <w:gridSpan w:val="18"/>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6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17"/>
                <w:szCs w:val="17"/>
                <w:color w:val="auto"/>
              </w:rPr>
            </w:pPr>
          </w:p>
        </w:tc>
        <w:tc>
          <w:tcPr>
            <w:tcW w:w="9660" w:type="dxa"/>
            <w:vAlign w:val="bottom"/>
            <w:tcBorders>
              <w:top w:val="single" w:sz="8" w:color="auto"/>
            </w:tcBorders>
            <w:gridSpan w:val="21"/>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Share Purchase Agreement dated December 1, 2011 by and among Amoco Canada International Holdings B.V. and Plains Midstream</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Canada ULC (the schedules and exhibits have been omitted pursuant to Item 601(b)(2) of Regulation S-K) (incorporated by reference</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to Exhibit 2.1 to our Annual Report on Form 10-K for the year ended December 31, 2011).</w:t>
              </w:r>
            </w:hyperlink>
          </w:p>
        </w:tc>
        <w:tc>
          <w:tcPr>
            <w:tcW w:w="3120" w:type="dxa"/>
            <w:vAlign w:val="bottom"/>
            <w:gridSpan w:val="17"/>
          </w:tcPr>
          <w:p>
            <w:pPr>
              <w:spacing w:after="0"/>
              <w:rPr>
                <w:sz w:val="17"/>
                <w:szCs w:val="17"/>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color w:val="0000FF"/>
                </w:rPr>
                <w:t>Agreement and Plan of Merger dated as of October 21, 2013, by and among Plains All American Pipeline, L.P., PAA Acquisition</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Company LLC, PAA Natural Gas Storage, L.P. and PNGS GP LLC (incorporated by reference to Exhibit 2.1 to our Current Report</w:t>
              </w:r>
            </w:hyperlink>
          </w:p>
        </w:tc>
        <w:tc>
          <w:tcPr>
            <w:tcW w:w="22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on Form 8-K filed October 24, 2013).</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0000FF"/>
                </w:rPr>
                <w:t>Simplification Agreement dated as of July 11, 2016, by and among PAA GP Holdings LLC, Plains GP Holdings, L.P., Plains All</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American GP LLC, Plains AAP, L.P., PAA GP LLC and Plains All American Pipeline, L.P. (incorporated by reference to Exhibit 2.1</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to our Current Report on Form 8-K filed July 14, 2016).</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6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0000FF"/>
                </w:rPr>
                <w:t>Securities Purchase Agreement dated as of January 19, 2017 by and between COG Operating LLC, as seller, and Plains Pipeline,</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L.P., as purchaser (the schedules and exhibits have been omitted pursuant to Item 601(b)(2) of Regulation S-K) (incorporated by</w:t>
              </w:r>
            </w:hyperlink>
          </w:p>
        </w:tc>
        <w:tc>
          <w:tcPr>
            <w:tcW w:w="60" w:type="dxa"/>
            <w:vAlign w:val="bottom"/>
            <w:tcBorders>
              <w:top w:val="single" w:sz="8" w:color="0000FF"/>
            </w:tcBorders>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reference to Exhibit 2.1 to our Quarterly Report on Form 10-Q for the quarter ended March 31, 2017).</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color w:val="0000FF"/>
                </w:rPr>
                <w:t>Securities Purchase Agreement dated as of January 19, 2017 by and between Frontier Midstream Solutions, LLC, as seller, and Plains</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8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Pipeline, L.P., as purchaser (the schedules and exhibits have been omitted pursuant to Item 601(b)(2) of Regulation S-K)</w:t>
              </w:r>
            </w:hyperlink>
          </w:p>
        </w:tc>
        <w:tc>
          <w:tcPr>
            <w:tcW w:w="94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(incorporated by reference to Exhibit 2.2 to our Quarterly Report on Form 10-Q for the quarter ended March 31, 2017).</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40" w:type="dxa"/>
            <w:vAlign w:val="bottom"/>
            <w:gridSpan w:val="5"/>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628"/>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color w:val="0000FF"/>
                </w:rPr>
                <w:t>Seventh Amended and Restated Agreement of Limited Partnership of Plains All American Pipeline, L.P. dated as of October 10,</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2017 (incorporated by reference to Exhibit 3.1 to our Current Report on Form 8-K filed October 12, 2017).</w:t>
              </w:r>
            </w:hyperlink>
          </w:p>
        </w:tc>
        <w:tc>
          <w:tcPr>
            <w:tcW w:w="1540" w:type="dxa"/>
            <w:vAlign w:val="bottom"/>
            <w:tcBorders>
              <w:top w:val="single" w:sz="8" w:color="0000FF"/>
            </w:tcBorders>
            <w:gridSpan w:val="8"/>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color w:val="0000FF"/>
                </w:rPr>
                <w:t>Third Amended and Restated Agreement of Limited Partnership of Plains Marketing, L.P. dated as of April 1, 2004 (incorporated by</w:t>
              </w:r>
            </w:hyperlink>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reference to Exhibit 3.2 to our Quarterly Report on Form 10-Q for the quarter ended March 31, 2004).</w:t>
              </w:r>
            </w:hyperlink>
          </w:p>
        </w:tc>
        <w:tc>
          <w:tcPr>
            <w:tcW w:w="12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80" w:type="dxa"/>
            <w:vAlign w:val="bottom"/>
            <w:gridSpan w:val="4"/>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0000FF"/>
                </w:rPr>
                <w:t>Amendment No. 1 dated December 31, 2010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160" w:type="dxa"/>
            <w:vAlign w:val="bottom"/>
            <w:gridSpan w:val="7"/>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Marketing, L.P. (incorporated by reference to Exhibit 3.9 to our Annual Report on Form 10-K for the year ended December 31,</w:t>
              </w:r>
            </w:hyperlink>
          </w:p>
        </w:tc>
        <w:tc>
          <w:tcPr>
            <w:tcW w:w="50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Times New Roman" w:cs="Times New Roman" w:eastAsia="Times New Roman" w:hAnsi="Times New Roman"/>
                <w:sz w:val="18"/>
                <w:szCs w:val="18"/>
                <w:color w:val="0000FF"/>
                <w:w w:val="94"/>
              </w:rPr>
            </w:pPr>
            <w:hyperlink r:id="rId77">
              <w:r>
                <w:rPr>
                  <w:rFonts w:ascii="Times New Roman" w:cs="Times New Roman" w:eastAsia="Times New Roman" w:hAnsi="Times New Roman"/>
                  <w:sz w:val="18"/>
                  <w:szCs w:val="18"/>
                  <w:color w:val="0000FF"/>
                  <w:w w:val="94"/>
                </w:rPr>
                <w:t>2010).</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0000FF"/>
                </w:rPr>
                <w:t>Amendment No. 2 dated January 1, 2011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20" w:type="dxa"/>
            <w:vAlign w:val="bottom"/>
            <w:gridSpan w:val="8"/>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Marketing, L.P. (incorporated by reference to Exhibit 3.10 to our Annual Report on Form 10-K for the year ended December 31,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Times New Roman" w:cs="Times New Roman" w:eastAsia="Times New Roman" w:hAnsi="Times New Roman"/>
                <w:sz w:val="18"/>
                <w:szCs w:val="18"/>
                <w:color w:val="0000FF"/>
                <w:w w:val="94"/>
              </w:rPr>
            </w:pPr>
            <w:hyperlink r:id="rId78">
              <w:r>
                <w:rPr>
                  <w:rFonts w:ascii="Times New Roman" w:cs="Times New Roman" w:eastAsia="Times New Roman" w:hAnsi="Times New Roman"/>
                  <w:sz w:val="18"/>
                  <w:szCs w:val="18"/>
                  <w:color w:val="0000FF"/>
                  <w:w w:val="94"/>
                </w:rPr>
                <w:t>2010).</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0000FF"/>
                </w:rPr>
                <w:t>Amendment No. 3 dated June 30, 2011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2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Marketing, L.P. (incorporated by reference to Exhibit 3.7 to our Annual Report on Form 10-K for the year ended December 31,</w:t>
              </w:r>
            </w:hyperlink>
          </w:p>
        </w:tc>
        <w:tc>
          <w:tcPr>
            <w:tcW w:w="50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Times New Roman" w:cs="Times New Roman" w:eastAsia="Times New Roman" w:hAnsi="Times New Roman"/>
                <w:sz w:val="18"/>
                <w:szCs w:val="18"/>
                <w:color w:val="0000FF"/>
                <w:w w:val="94"/>
              </w:rPr>
            </w:pPr>
            <w:hyperlink r:id="rId79">
              <w:r>
                <w:rPr>
                  <w:rFonts w:ascii="Times New Roman" w:cs="Times New Roman" w:eastAsia="Times New Roman" w:hAnsi="Times New Roman"/>
                  <w:sz w:val="18"/>
                  <w:szCs w:val="18"/>
                  <w:color w:val="0000FF"/>
                  <w:w w:val="94"/>
                </w:rPr>
                <w:t>2013).</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260" w:type="dxa"/>
            <w:vAlign w:val="bottom"/>
            <w:gridSpan w:val="23"/>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0000FF"/>
                </w:rPr>
                <w:t>Amendment No. 4 dated January 1, 2013 to the Third Amended and Restated Agreement of Limited Partnership of Plains</w:t>
              </w:r>
            </w:hyperlink>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760" w:type="dxa"/>
            <w:vAlign w:val="bottom"/>
            <w:gridSpan w:val="10"/>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gridSpan w:val="21"/>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Marketing, L.P (incorporated by reference to Exhibit 3.8 to our Annual Report on Form 10-K for the year ended December 31,</w:t>
              </w:r>
            </w:hyperlink>
          </w:p>
        </w:tc>
      </w:tr>
      <w:tr>
        <w:trPr>
          <w:trHeight w:val="20"/>
        </w:trPr>
        <w:tc>
          <w:tcPr>
            <w:tcW w:w="1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60" w:type="dxa"/>
            <w:vAlign w:val="bottom"/>
            <w:gridSpan w:val="3"/>
          </w:tcPr>
          <w:p>
            <w:pPr>
              <w:ind w:left="600"/>
              <w:spacing w:after="0" w:line="196" w:lineRule="exact"/>
              <w:rPr>
                <w:rFonts w:ascii="Times New Roman" w:cs="Times New Roman" w:eastAsia="Times New Roman" w:hAnsi="Times New Roman"/>
                <w:sz w:val="18"/>
                <w:szCs w:val="18"/>
                <w:color w:val="0000FF"/>
                <w:w w:val="94"/>
              </w:rPr>
            </w:pPr>
            <w:hyperlink r:id="rId80">
              <w:r>
                <w:rPr>
                  <w:rFonts w:ascii="Times New Roman" w:cs="Times New Roman" w:eastAsia="Times New Roman" w:hAnsi="Times New Roman"/>
                  <w:sz w:val="18"/>
                  <w:szCs w:val="18"/>
                  <w:color w:val="0000FF"/>
                  <w:w w:val="94"/>
                </w:rPr>
                <w:t>2013).</w:t>
              </w:r>
            </w:hyperlink>
          </w:p>
        </w:tc>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420"/>
          </w:cols>
          <w:pgMar w:left="240" w:top="121" w:right="2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0000FF"/>
                </w:rPr>
                <w:t>Third Amended and Restated Agreement of Limited Partnership of Plains Pipeline, L.P. dated as of April 1, 2004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8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reference to Exhibit 3.3 to our Quarterly Report on Form 10-Q for the quarter ended March 31, 2004).</w:t>
              </w:r>
            </w:hyperlink>
          </w:p>
        </w:tc>
        <w:tc>
          <w:tcPr>
            <w:tcW w:w="22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color w:val="0000FF"/>
                </w:rPr>
                <w:t>Amendment No. 1 dated January 1, 2013 to the Third Amended and Restated Agreement of Limited Partnership of Plains Pipeline,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L.P. (incorporated by reference to Exhibit 3.10 to our Annual Report on Form 10-K for the year ended December 31, 2013).</w:t>
              </w:r>
            </w:hyperlink>
          </w:p>
        </w:tc>
        <w:tc>
          <w:tcPr>
            <w:tcW w:w="540" w:type="dxa"/>
            <w:vAlign w:val="bottom"/>
            <w:tcBorders>
              <w:top w:val="single" w:sz="8" w:color="0000FF"/>
            </w:tcBorders>
            <w:gridSpan w:val="1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0000FF"/>
                </w:rPr>
                <w:t>Seventh Amended and Restated Limited Liability Company Agreement of Plains All American GP LLC dated November 15, 2016</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(incorporated by reference to Exhibit 3.3 to our Current Report on Form 8-K filed November 21, 2016).</w:t>
              </w:r>
            </w:hyperlink>
          </w:p>
        </w:tc>
        <w:tc>
          <w:tcPr>
            <w:tcW w:w="1960" w:type="dxa"/>
            <w:vAlign w:val="bottom"/>
            <w:tcBorders>
              <w:top w:val="single" w:sz="8" w:color="0000FF"/>
            </w:tcBorders>
            <w:gridSpan w:val="17"/>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0000FF"/>
                </w:rPr>
                <w:t>Eighth Amended and Restated Limited Partnership Agreement of Plains AAP, L.P. dated November 15, 2016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reference to Exhibit 3.4 to our Current Report on Form 8-K filed November 21, 2016).</w:t>
              </w:r>
            </w:hyperlink>
          </w:p>
        </w:tc>
        <w:tc>
          <w:tcPr>
            <w:tcW w:w="2880" w:type="dxa"/>
            <w:vAlign w:val="bottom"/>
            <w:tcBorders>
              <w:top w:val="single" w:sz="8" w:color="0000FF"/>
            </w:tcBorders>
            <w:gridSpan w:val="12"/>
          </w:tcPr>
          <w:p>
            <w:pPr>
              <w:spacing w:after="0"/>
              <w:rPr>
                <w:sz w:val="17"/>
                <w:szCs w:val="17"/>
                <w:color w:val="auto"/>
              </w:rPr>
            </w:pPr>
          </w:p>
        </w:tc>
        <w:tc>
          <w:tcPr>
            <w:tcW w:w="500" w:type="dxa"/>
            <w:vAlign w:val="bottom"/>
            <w:gridSpan w:val="1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0000FF"/>
                </w:rPr>
                <w:t>Certificate of Incorporation of PAA Finance Corp. (f/k/a Pacific Energy Finance Corporation, successor-by-merger to PAA Finance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80" w:type="dxa"/>
            <w:vAlign w:val="bottom"/>
            <w:tcBorders>
              <w:top w:val="single" w:sz="8" w:color="0000FF"/>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Corp.) (incorporated by reference to Exhibit 3.10 to our Annual Report on Form 10-K for the year ended December 31, 2006).</w:t>
              </w:r>
            </w:hyperlink>
          </w:p>
        </w:tc>
        <w:tc>
          <w:tcPr>
            <w:tcW w:w="360" w:type="dxa"/>
            <w:vAlign w:val="bottom"/>
            <w:tcBorders>
              <w:top w:val="single" w:sz="8" w:color="0000FF"/>
            </w:tcBorders>
            <w:gridSpan w:val="11"/>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0000FF"/>
                </w:rPr>
                <w:t>Bylaws of PAA Finance Corp. (f/k/a Pacific Energy Finance Corporation, successor-by-merger to PAA Finance Corp.) (incorporated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4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by reference to Exhibit 3.11 to our Annual Report on Form 10-K for the year ended December 31, 2006).</w:t>
              </w:r>
            </w:hyperlink>
          </w:p>
        </w:tc>
        <w:tc>
          <w:tcPr>
            <w:tcW w:w="6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color w:val="0000FF"/>
                </w:rPr>
                <w:t>Limited Liability Company Agreement of PAA GP LLC dated December 28, 2007 (incorporated by reference to Exhibit 3.3 to our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8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Current Report on Form 8-K filed January 4, 2008).</w:t>
              </w:r>
            </w:hyperlink>
          </w:p>
        </w:tc>
        <w:tc>
          <w:tcPr>
            <w:tcW w:w="22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color w:val="0000FF"/>
                </w:rPr>
                <w:t>Certificate of Limited Partnership of Plains GP Holdings, L.P. (incorporated by reference to Exhibit 3.1 to PAGP’s Registration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1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Statement on Form S-1 (333-190227) filed July 29, 2013).</w:t>
              </w:r>
            </w:hyperlink>
          </w:p>
        </w:tc>
        <w:tc>
          <w:tcPr>
            <w:tcW w:w="4960" w:type="dxa"/>
            <w:vAlign w:val="bottom"/>
            <w:tcBorders>
              <w:top w:val="single" w:sz="8" w:color="0000FF"/>
            </w:tcBorders>
            <w:gridSpan w:val="17"/>
          </w:tcPr>
          <w:p>
            <w:pPr>
              <w:spacing w:after="0"/>
              <w:rPr>
                <w:sz w:val="17"/>
                <w:szCs w:val="17"/>
                <w:color w:val="auto"/>
              </w:rPr>
            </w:pPr>
          </w:p>
        </w:tc>
        <w:tc>
          <w:tcPr>
            <w:tcW w:w="460" w:type="dxa"/>
            <w:vAlign w:val="bottom"/>
            <w:gridSpan w:val="13"/>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0000FF"/>
                </w:rPr>
                <w:t>Second Amended and Restated Agreement of Limited Partnership of Plains GP Holdings, L.P. dated as of November 15, 2016</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8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(incorporated by reference to Exhibit 3.2 to PAGP’s Current Report on Form 8-K filed November 21, 2016).</w:t>
              </w:r>
            </w:hyperlink>
          </w:p>
        </w:tc>
        <w:tc>
          <w:tcPr>
            <w:tcW w:w="1280" w:type="dxa"/>
            <w:vAlign w:val="bottom"/>
            <w:tcBorders>
              <w:top w:val="single" w:sz="8" w:color="0000FF"/>
            </w:tcBorders>
            <w:gridSpan w:val="4"/>
          </w:tcPr>
          <w:p>
            <w:pPr>
              <w:spacing w:after="0"/>
              <w:rPr>
                <w:sz w:val="17"/>
                <w:szCs w:val="17"/>
                <w:color w:val="auto"/>
              </w:rPr>
            </w:pPr>
          </w:p>
        </w:tc>
        <w:tc>
          <w:tcPr>
            <w:tcW w:w="540" w:type="dxa"/>
            <w:vAlign w:val="bottom"/>
            <w:gridSpan w:val="17"/>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0000FF"/>
                </w:rPr>
                <w:t>Certificate of Formation of PAA GP Holdings LLC (incorporated by reference to Exhibit 3.3 to PAGP’s Registration Statement 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Form S-1 (333-190227) filed July 29, 2013).</w:t>
              </w:r>
            </w:hyperlink>
          </w:p>
        </w:tc>
        <w:tc>
          <w:tcPr>
            <w:tcW w:w="6160" w:type="dxa"/>
            <w:vAlign w:val="bottom"/>
            <w:tcBorders>
              <w:top w:val="single" w:sz="8" w:color="0000FF"/>
            </w:tcBorders>
            <w:gridSpan w:val="24"/>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0000FF"/>
                </w:rPr>
                <w:t>Third Amended and Restated Limited Liability Company Agreement of PAA GP Holdings LLC dated as of February 16, 2017</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0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(incorporated by reference to Exhibit 3.1 to our Current Report on Form 8-K filed February 21, 2017).</w:t>
              </w:r>
            </w:hyperlink>
          </w:p>
        </w:tc>
        <w:tc>
          <w:tcPr>
            <w:tcW w:w="500" w:type="dxa"/>
            <w:vAlign w:val="bottom"/>
            <w:gridSpan w:val="1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0000FF"/>
                </w:rPr>
                <w:t>Indenture dated September 25, 2002 among Plains All American Pipeline, L.P., PAA Finance Corp. and Wachovia Bank, National</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Association, as trustee (incorporated by reference to Exhibit 4.1 to our Quarterly Report on Form 10-Q for the quarter ended</w:t>
              </w:r>
            </w:hyperlink>
          </w:p>
        </w:tc>
        <w:tc>
          <w:tcPr>
            <w:tcW w:w="400" w:type="dxa"/>
            <w:vAlign w:val="bottom"/>
            <w:tcBorders>
              <w:top w:val="single" w:sz="8" w:color="0000FF"/>
            </w:tcBorders>
            <w:gridSpan w:val="9"/>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92">
              <w:r>
                <w:rPr>
                  <w:rFonts w:ascii="Times New Roman" w:cs="Times New Roman" w:eastAsia="Times New Roman" w:hAnsi="Times New Roman"/>
                  <w:sz w:val="18"/>
                  <w:szCs w:val="18"/>
                  <w:color w:val="0000FF"/>
                  <w:w w:val="96"/>
                </w:rPr>
                <w:t>September 30, 2002).</w:t>
              </w:r>
            </w:hyperlink>
          </w:p>
        </w:tc>
        <w:tc>
          <w:tcPr>
            <w:tcW w:w="8080" w:type="dxa"/>
            <w:vAlign w:val="bottom"/>
            <w:gridSpan w:val="34"/>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0000FF"/>
                </w:rPr>
                <w:t>Sixth Supplemental Indenture (Series A and Series B 6.70% Senior Notes due 2036) dated May 12, 2006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top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Pipeline, L.P., PAA Finance Corp., the Subsidiary Guarantors named therein and Wachovia Bank, National Association, as trustee</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(incorporated by reference to Exhibit 4.1 to our Current Report on Form 8-K filed May 12, 2006).</w:t>
              </w:r>
            </w:hyperlink>
          </w:p>
        </w:tc>
        <w:tc>
          <w:tcPr>
            <w:tcW w:w="280" w:type="dxa"/>
            <w:vAlign w:val="bottom"/>
            <w:gridSpan w:val="1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0000FF"/>
                </w:rPr>
                <w:t>Tenth Supplemental Indenture (Series A and Series B 6.650% Senior Notes due 2037) dated October 30, 2006 among Plains All</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American Pipeline, L.P., PAA Finance Corp., the Subsidiary Guarantors named therein and U.S. Bank National Association, as</w:t>
              </w:r>
            </w:hyperlink>
          </w:p>
        </w:tc>
        <w:tc>
          <w:tcPr>
            <w:tcW w:w="80" w:type="dxa"/>
            <w:vAlign w:val="bottom"/>
            <w:tcBorders>
              <w:top w:val="single" w:sz="8" w:color="0000FF"/>
            </w:tcBorders>
            <w:gridSpan w:val="2"/>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trustee (incorporated by reference to Exhibit 4.2 to our Current Report on Form 8-K filed October 30, 2006).</w:t>
              </w:r>
            </w:hyperlink>
          </w:p>
        </w:tc>
        <w:tc>
          <w:tcPr>
            <w:tcW w:w="1800" w:type="dxa"/>
            <w:vAlign w:val="bottom"/>
            <w:gridSpan w:val="20"/>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0000FF"/>
                </w:rPr>
                <w:t>Seventeenth Supplemental Indenture (5.75% Senior Notes due 2020) dated September 4, 2009 among Plains All American Pipeline,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20" w:type="dxa"/>
            <w:vAlign w:val="bottom"/>
            <w:tcBorders>
              <w:top w:val="single" w:sz="8" w:color="0000FF"/>
            </w:tcBorders>
            <w:gridSpan w:val="32"/>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L.P., PAA Finance Corp., the Subsidiary Guarantors named therein and U.S. Bank National Association, as trustee (incorporated by</w:t>
              </w:r>
            </w:hyperlink>
          </w:p>
        </w:tc>
        <w:tc>
          <w:tcPr>
            <w:tcW w:w="8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reference to Exhibit 4.1 to our Current Report on Form 8-K filed September 4, 2009).</w:t>
              </w:r>
            </w:hyperlink>
          </w:p>
        </w:tc>
        <w:tc>
          <w:tcPr>
            <w:tcW w:w="3300" w:type="dxa"/>
            <w:vAlign w:val="bottom"/>
            <w:tcBorders>
              <w:top w:val="single" w:sz="8" w:color="0000FF"/>
            </w:tcBorders>
            <w:gridSpan w:val="23"/>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0000FF"/>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3280" w:type="dxa"/>
            <w:vAlign w:val="bottom"/>
            <w:gridSpan w:val="18"/>
            <w:shd w:val="clear" w:color="auto" w:fill="0000FF"/>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gridSpan w:val="35"/>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L.P., PAA Finance Corp., the Subsidiary Guarantors named therein and U.S. Bank National Association, as trustee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4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reference to Exhibit 4.1 to our Current Report on Form 8-K filed January 11, 2011).</w:t>
              </w:r>
            </w:hyperlink>
          </w:p>
        </w:tc>
        <w:tc>
          <w:tcPr>
            <w:tcW w:w="160" w:type="dxa"/>
            <w:vAlign w:val="bottom"/>
            <w:gridSpan w:val="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3500" w:type="dxa"/>
            <w:vAlign w:val="bottom"/>
            <w:gridSpan w:val="2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4"/>
                <w:szCs w:val="24"/>
                <w:color w:val="auto"/>
              </w:rPr>
            </w:pPr>
          </w:p>
        </w:tc>
        <w:tc>
          <w:tcPr>
            <w:tcW w:w="10080" w:type="dxa"/>
            <w:vAlign w:val="bottom"/>
            <w:gridSpan w:val="3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0000FF"/>
                </w:rPr>
                <w:t>Twentieth Supplemental Indenture (3.65% Senior Notes due 2022) dated March 22, 2012 among Plains All American Pipeline, L.P.,</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7140" w:type="dxa"/>
            <w:vAlign w:val="bottom"/>
            <w:gridSpan w:val="29"/>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PAA Finance Corp. and U.S. Bank National Association, as trustee (incorporated by reference to Exhibit 4.1 to our Current Report 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0" w:type="dxa"/>
            <w:vAlign w:val="bottom"/>
            <w:gridSpan w:val="35"/>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8-K filed March 26, 2012).</w:t>
              </w:r>
            </w:hyperlink>
          </w:p>
        </w:tc>
      </w:tr>
      <w:tr>
        <w:trPr>
          <w:trHeight w:val="507"/>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Borders>
              <w:top w:val="single" w:sz="8" w:color="0000FF"/>
            </w:tcBorders>
            <w:gridSpan w:val="2"/>
          </w:tcPr>
          <w:p>
            <w:pPr>
              <w:spacing w:after="0"/>
              <w:rPr>
                <w:sz w:val="24"/>
                <w:szCs w:val="24"/>
                <w:color w:val="auto"/>
              </w:rPr>
            </w:pP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108" w:right="27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63"/>
        </w:trPr>
        <w:tc>
          <w:tcPr>
            <w:tcW w:w="1280" w:type="dxa"/>
            <w:vAlign w:val="bottom"/>
            <w:tcBorders>
              <w:top w:val="single" w:sz="8" w:color="0000EE"/>
            </w:tcBorders>
          </w:tcPr>
          <w:p>
            <w:pPr>
              <w:jc w:val="center"/>
              <w:ind w:right="3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0000FF"/>
                </w:rPr>
                <w:t>Twenty-First Supplemental Indenture (5.15% Senior Notes due 2042) dated March 22, 2012 among Plains All American Pipeline,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L.P., PAA Finance Corp. and U.S. Bank National Association, as trustee (incorporated by reference to Exhibit 4.3 to our Current</w:t>
              </w:r>
            </w:hyperlink>
          </w:p>
        </w:tc>
        <w:tc>
          <w:tcPr>
            <w:tcW w:w="120" w:type="dxa"/>
            <w:vAlign w:val="bottom"/>
            <w:tcBorders>
              <w:top w:val="single" w:sz="8" w:color="0000FF"/>
            </w:tcBorders>
            <w:gridSpan w:val="4"/>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98">
              <w:r>
                <w:rPr>
                  <w:rFonts w:ascii="Times New Roman" w:cs="Times New Roman" w:eastAsia="Times New Roman" w:hAnsi="Times New Roman"/>
                  <w:sz w:val="18"/>
                  <w:szCs w:val="18"/>
                  <w:color w:val="0000FF"/>
                  <w:w w:val="98"/>
                </w:rPr>
                <w:t>Report on Form 8-K filed March 26, 2012).</w:t>
              </w:r>
            </w:hyperlink>
          </w:p>
        </w:tc>
        <w:tc>
          <w:tcPr>
            <w:tcW w:w="6460" w:type="dxa"/>
            <w:vAlign w:val="bottom"/>
            <w:gridSpan w:val="26"/>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0000FF"/>
                </w:rPr>
                <w:t>Twenty-Second Supplemental Indenture (2.85% Senior Notes due 2023) dated December 10, 2012, by and among Plains All</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American Pipeline, L.P., PAA Finance Corp. and U.S. Bank National Association, as trustee (incorporated by reference to Exhibit 4.1</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to our Current Report on Form 8-K filed December 12, 2012).</w:t>
              </w:r>
            </w:hyperlink>
          </w:p>
        </w:tc>
        <w:tc>
          <w:tcPr>
            <w:tcW w:w="5120" w:type="dxa"/>
            <w:vAlign w:val="bottom"/>
            <w:gridSpan w:val="1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0000FF"/>
                </w:rPr>
                <w:t>Twenty-Third Supplemental Indenture (4.30% Senior Notes due 2043) dated December 10, 2012,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Pipeline, L.P., PAA Finance Corp. and U.S. Bank National Association, as trustee (incorporated by reference to Exhibit 4.3 to our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Current Report on Form 8-K filed December 12, 2012).</w:t>
              </w:r>
            </w:hyperlink>
          </w:p>
        </w:tc>
        <w:tc>
          <w:tcPr>
            <w:tcW w:w="5300" w:type="dxa"/>
            <w:vAlign w:val="bottom"/>
            <w:tcBorders>
              <w:top w:val="single" w:sz="8" w:color="0000FF"/>
            </w:tcBorders>
            <w:gridSpan w:val="13"/>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0000FF"/>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4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c>
          <w:tcPr>
            <w:tcW w:w="1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Current Report on Form 8-K filed August 15, 2013).</w:t>
              </w:r>
            </w:hyperlink>
          </w:p>
        </w:tc>
        <w:tc>
          <w:tcPr>
            <w:tcW w:w="5540" w:type="dxa"/>
            <w:vAlign w:val="bottom"/>
            <w:tcBorders>
              <w:top w:val="single" w:sz="8" w:color="0000FF"/>
            </w:tcBorders>
            <w:gridSpan w:val="15"/>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0000FF"/>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28"/>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Current Report on Form 8-K filed April 29, 2014).</w:t>
              </w:r>
            </w:hyperlink>
          </w:p>
        </w:tc>
        <w:tc>
          <w:tcPr>
            <w:tcW w:w="5680" w:type="dxa"/>
            <w:vAlign w:val="bottom"/>
            <w:tcBorders>
              <w:top w:val="single" w:sz="8" w:color="0000FF"/>
            </w:tcBorders>
            <w:gridSpan w:val="16"/>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0000FF"/>
                </w:rPr>
                <w:t>Twenty-Sixth Supplemental Indenture (3.60% Senior Notes due 2024) dated September 9, 2014,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c>
          <w:tcPr>
            <w:tcW w:w="8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Current Report on Form 8-K filed September 11, 2014).</w:t>
              </w:r>
            </w:hyperlink>
          </w:p>
        </w:tc>
        <w:tc>
          <w:tcPr>
            <w:tcW w:w="5280" w:type="dxa"/>
            <w:vAlign w:val="bottom"/>
            <w:tcBorders>
              <w:top w:val="single" w:sz="8" w:color="0000FF"/>
            </w:tcBorders>
            <w:gridSpan w:val="12"/>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color w:val="0000FF"/>
                </w:rPr>
                <w:t>Twenty-Seventh Supplemental Indenture (2.60% Senior Notes due 2019) dated December 9, 2014, by and among Plains All</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American Pipeline, L.P., PAA Finance Corp. and U.S. Bank National Association, as trustee (incorporated by reference to Exhibit 4.1</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28"/>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to our Current Report on Form 8-K filed December 11, 2014).</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0000FF"/>
                </w:rPr>
                <w:t>Twenty-Eighth Supplemental Indenture (4.90% Senior Notes due 2045) dated December 9, 2014,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Pipeline, L.P., PAA Finance Corp. and U.S. Bank National Association, as trustee (incorporated by reference to Exhibit 4.3 to our</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05">
              <w:r>
                <w:rPr>
                  <w:rFonts w:ascii="Times New Roman" w:cs="Times New Roman" w:eastAsia="Times New Roman" w:hAnsi="Times New Roman"/>
                  <w:sz w:val="18"/>
                  <w:szCs w:val="18"/>
                  <w:color w:val="0000FF"/>
                  <w:w w:val="98"/>
                </w:rPr>
                <w:t>Current Report on Form 8-K filed December 11, 2014).</w:t>
              </w:r>
            </w:hyperlink>
          </w:p>
        </w:tc>
        <w:tc>
          <w:tcPr>
            <w:tcW w:w="5320" w:type="dxa"/>
            <w:vAlign w:val="bottom"/>
            <w:tcBorders>
              <w:top w:val="single" w:sz="8" w:color="0000FF"/>
            </w:tcBorders>
            <w:gridSpan w:val="14"/>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0000FF"/>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6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Pipeline, L.P., PAA Finance Corp. and U.S. Bank National Association, as trustee (incorporated by reference to Exhibit 4.1 to our</w:t>
              </w:r>
            </w:hyperlink>
          </w:p>
        </w:tc>
        <w:tc>
          <w:tcPr>
            <w:tcW w:w="22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Current Report on Form 8-K filed August 26, 2015).</w:t>
              </w:r>
            </w:hyperlink>
          </w:p>
        </w:tc>
        <w:tc>
          <w:tcPr>
            <w:tcW w:w="5540" w:type="dxa"/>
            <w:vAlign w:val="bottom"/>
            <w:tcBorders>
              <w:top w:val="single" w:sz="8" w:color="0000FF"/>
            </w:tcBorders>
            <w:gridSpan w:val="15"/>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0000FF"/>
                </w:rPr>
                <w:t>Thirtieth Supplemental Indenture (4.50% Senior Notes due 2026) dated November 22, 2016, by and among Plains All American</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28"/>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Current Report on Form 8-K filed November 29, 2016).</w:t>
              </w:r>
            </w:hyperlink>
          </w:p>
        </w:tc>
        <w:tc>
          <w:tcPr>
            <w:tcW w:w="5300" w:type="dxa"/>
            <w:vAlign w:val="bottom"/>
            <w:tcBorders>
              <w:top w:val="single" w:sz="8" w:color="0000FF"/>
            </w:tcBorders>
            <w:gridSpan w:val="13"/>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color w:val="0000FF"/>
                </w:rPr>
                <w:t>Registration Rights Agreement dated September 3, 2009 by and between Plains All American Pipeline, L.P. and Vulcan Gas Storage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4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LLC (incorporated by reference to Exhibit 4.1 to our Registration Statement on Form S-3, File No. 333-162477).</w:t>
              </w:r>
            </w:hyperlink>
          </w:p>
        </w:tc>
        <w:tc>
          <w:tcPr>
            <w:tcW w:w="4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5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color w:val="0000FF"/>
                </w:rPr>
                <w:t>Registration Rights Agreement dated as of January 28, 2016 among Plains All American Pipeline, L.P. and the Purchasers named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therein (incorporated by reference to Exhibit 4.1 to our Current Report on Form 8-K filed February 2, 2016).</w:t>
              </w:r>
            </w:hyperlink>
          </w:p>
        </w:tc>
        <w:tc>
          <w:tcPr>
            <w:tcW w:w="1480" w:type="dxa"/>
            <w:vAlign w:val="bottom"/>
            <w:tcBorders>
              <w:top w:val="single" w:sz="8" w:color="0000FF"/>
            </w:tcBorders>
            <w:gridSpan w:val="8"/>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color w:val="0000FF"/>
                </w:rPr>
                <w:t>Registration Rights Agreement by and among Plains All American Pipeline, L.P. and the Holders defined therein, dated November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15, 2016 (incorporated by reference to Exhibit 10.4 to our Current Report on Form 8-K filed November 21, 2016).</w:t>
              </w:r>
            </w:hyperlink>
          </w:p>
        </w:tc>
        <w:tc>
          <w:tcPr>
            <w:tcW w:w="1180" w:type="dxa"/>
            <w:vAlign w:val="bottom"/>
            <w:tcBorders>
              <w:top w:val="single" w:sz="8" w:color="0000FF"/>
            </w:tcBorders>
            <w:gridSpan w:val="10"/>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10060" w:type="dxa"/>
            <w:vAlign w:val="bottom"/>
            <w:gridSpan w:val="2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color w:val="0000FF"/>
                </w:rPr>
                <w:t>Credit Agreement dated as of August 19, 2011 among Plains All American Pipeline, L.P., as Borrower; certain subsidiaries of Plains</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2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All American Pipeline, L.P. from time to time party thereto, as Designated Borrowers; Bank of America, N.A., as Administrative</w:t>
              </w:r>
            </w:hyperlink>
          </w:p>
        </w:tc>
        <w:tc>
          <w:tcPr>
            <w:tcW w:w="6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6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Agent; and the other Lenders party thereto (incorporated by reference to Exhibit 10.1 to our Current Report on Form 8-K filed</w:t>
              </w:r>
            </w:hyperlink>
          </w:p>
        </w:tc>
        <w:tc>
          <w:tcPr>
            <w:tcW w:w="3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August 25, 2011).</w:t>
              </w:r>
            </w:hyperlink>
          </w:p>
        </w:tc>
        <w:tc>
          <w:tcPr>
            <w:tcW w:w="520" w:type="dxa"/>
            <w:vAlign w:val="bottom"/>
            <w:gridSpan w:val="14"/>
          </w:tcPr>
          <w:p>
            <w:pPr>
              <w:spacing w:after="0"/>
              <w:rPr>
                <w:sz w:val="17"/>
                <w:szCs w:val="17"/>
                <w:color w:val="auto"/>
              </w:rPr>
            </w:pPr>
          </w:p>
        </w:tc>
      </w:tr>
      <w:tr>
        <w:trPr>
          <w:trHeight w:val="66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18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First Amendment to Credit Agreement dated as of June 27, 2012, among Plains All American Pipeline, L.P. and Plains Midstream</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Canada ULC, as Borrowers; Bank of America, N.A., as Administrative Agent, Swing Line Lender and L/C Issuer; Wells Fargo Bank,</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National Association, as an L/C Issuer; and the other Lenders party thereto (incorporated by reference to Exhibit 10.2 to our Current</w:t>
              </w:r>
            </w:hyperlink>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Report on Form 8-K filed July 3, 2012).</w:t>
              </w:r>
            </w:hyperlink>
          </w:p>
        </w:tc>
        <w:tc>
          <w:tcPr>
            <w:tcW w:w="6740" w:type="dxa"/>
            <w:vAlign w:val="bottom"/>
            <w:gridSpan w:val="25"/>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Second Amendment to Credit Agreement dated as of August 16, 2013, among Plains All American Pipeline, L.P. and Plains</w:t>
              </w:r>
            </w:hyperlink>
          </w:p>
        </w:tc>
        <w:tc>
          <w:tcPr>
            <w:tcW w:w="680" w:type="dxa"/>
            <w:vAlign w:val="bottom"/>
            <w:gridSpan w:val="1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Midstream Canada ULC, as Borrowers; Bank of America, N.A., as Administrative Agent, Swing Line Lender and L/C Issuer; Wells</w:t>
              </w:r>
            </w:hyperlink>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8"/>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Fargo Bank, National Association, as an L/C Issuer; and the other Lenders party thereto (incorporated by reference to Exhibit 10.2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our Current Report on Form 8-K filed August 20, 2013).</w:t>
              </w:r>
            </w:hyperlink>
          </w:p>
        </w:tc>
        <w:tc>
          <w:tcPr>
            <w:tcW w:w="6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Third Amendment to Credit Agreement dated as of August 11, 2016, among Plains All American Pipeline, L.P. and Plains Midstream</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Canada ULC, as Borrowers; Bank of America, N.A., as Administrative Agent, Swing Line Lender and L/C Issuer; Wells Fargo Bank,</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National Association, as an L/C Issuer; and the other Lenders party thereto (incorporated by reference to Exhibit 10.1 to our Current</w:t>
              </w:r>
            </w:hyperlink>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8"/>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Report on Form 8-K filed August 17, 2016).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Third Amended and Restated Credit Agreement dated as of August 19, 2011 by and among Plains Marketing, L.P., as Borrower,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2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Plains All American Pipeline, L.P., as Guarantor, Bank of America, N.A., as Administrative Agent, and the other Lenders party</w:t>
              </w:r>
            </w:hyperlink>
          </w:p>
        </w:tc>
        <w:tc>
          <w:tcPr>
            <w:tcW w:w="40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thereto (incorporated by reference to Exhibit 10.2 to our Current Report on Form 8-K filed August 25, 2011).</w:t>
              </w:r>
            </w:hyperlink>
          </w:p>
        </w:tc>
        <w:tc>
          <w:tcPr>
            <w:tcW w:w="460" w:type="dxa"/>
            <w:vAlign w:val="bottom"/>
            <w:gridSpan w:val="1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First Amendment to Third Amended and Restated Credit Agreement dated as of June 27, 2012, among Plains Marketing, L.P. and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Plains Midstream Canada ULC, as Borrowers; Plains All American Pipeline, L.P., as Guarantor; Bank of America, N.A., as</w:t>
              </w:r>
            </w:hyperlink>
          </w:p>
        </w:tc>
        <w:tc>
          <w:tcPr>
            <w:tcW w:w="260" w:type="dxa"/>
            <w:vAlign w:val="bottom"/>
            <w:gridSpan w:val="10"/>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Administrative Agent, Swing Line Lender and L/C Issuer; and the other Lenders and L/C Issuers party thereto (incorporated by</w:t>
              </w:r>
            </w:hyperlink>
          </w:p>
        </w:tc>
        <w:tc>
          <w:tcPr>
            <w:tcW w:w="44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reference to Exhibit 10.1 to our Current Report on Form 8-K filed July 3, 2012).</w:t>
              </w:r>
            </w:hyperlink>
          </w:p>
        </w:tc>
        <w:tc>
          <w:tcPr>
            <w:tcW w:w="3840" w:type="dxa"/>
            <w:vAlign w:val="bottom"/>
            <w:gridSpan w:val="22"/>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Second Amendment to Third Amended and Restated Credit Agreement dated as of August 16, 2013, among Plains Marketing, L.P.</w:t>
              </w:r>
            </w:hyperlink>
          </w:p>
        </w:tc>
        <w:tc>
          <w:tcPr>
            <w:tcW w:w="16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and Plains Midstream Canada ULC, as Borrowers; Plains All American Pipeline, L.P., as Guarantor; Bank of America, N.A., as</w:t>
              </w:r>
            </w:hyperlink>
          </w:p>
        </w:tc>
        <w:tc>
          <w:tcPr>
            <w:tcW w:w="420" w:type="dxa"/>
            <w:vAlign w:val="bottom"/>
            <w:gridSpan w:val="1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Administrative Agent, Swing Line Lender and L/C Issuer; Wells Fargo Bank, National Association, as an L/C Issuer; and the other</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8"/>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Lenders and L/C Issuers party thereto (incorporated by reference to Exhibit 10.1 to our Current Report on Form 8-K filed August 20,</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17">
              <w:r>
                <w:rPr>
                  <w:rFonts w:ascii="Times New Roman" w:cs="Times New Roman" w:eastAsia="Times New Roman" w:hAnsi="Times New Roman"/>
                  <w:sz w:val="18"/>
                  <w:szCs w:val="18"/>
                  <w:color w:val="0000FF"/>
                  <w:w w:val="94"/>
                </w:rPr>
                <w:t>2013).</w:t>
              </w:r>
            </w:hyperlink>
          </w:p>
        </w:tc>
        <w:tc>
          <w:tcPr>
            <w:tcW w:w="2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8"/>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Third Amendment to Third Amended and Restated Credit Agreement dated as of August 11, 2016, among Plains Marketing, L.P. and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Plains Midstream Canada ULC, as Borrowers; Plains All American Pipeline, L.P., as Guarantor; Bank of America, N.A., as</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800" w:type="dxa"/>
            <w:vAlign w:val="bottom"/>
            <w:gridSpan w:val="5"/>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Administrative Agent, Swing Line Lender and L/C Issuer; Wells Fargo Bank, National Association, as an L/C Issuer; and the other</w:t>
              </w:r>
            </w:hyperlink>
          </w:p>
        </w:tc>
        <w:tc>
          <w:tcPr>
            <w:tcW w:w="18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8"/>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Lenders and L/C Issuers party thereto (incorporated by reference to Exhibit 10.3 to our Current Report on Form 8-K filed August 17,</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18">
              <w:r>
                <w:rPr>
                  <w:rFonts w:ascii="Times New Roman" w:cs="Times New Roman" w:eastAsia="Times New Roman" w:hAnsi="Times New Roman"/>
                  <w:sz w:val="18"/>
                  <w:szCs w:val="18"/>
                  <w:color w:val="0000FF"/>
                  <w:w w:val="94"/>
                </w:rPr>
                <w:t>2016).</w:t>
              </w:r>
            </w:hyperlink>
          </w:p>
        </w:tc>
        <w:tc>
          <w:tcPr>
            <w:tcW w:w="2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Fourth Amendment to Third Amended and Restated Credit Agreement dated as of August 16, 2017, among Plains Marketing, L.P.</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and Plains Midstream Canada ULC, as Borrowers; Plains All American Pipeline, L.P., as Guarantor; Bank of America, N.A., as</w:t>
              </w:r>
            </w:hyperlink>
          </w:p>
        </w:tc>
        <w:tc>
          <w:tcPr>
            <w:tcW w:w="180" w:type="dxa"/>
            <w:vAlign w:val="bottom"/>
            <w:tcBorders>
              <w:top w:val="single" w:sz="8" w:color="0000FF"/>
            </w:tcBorders>
            <w:gridSpan w:val="3"/>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8"/>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Administrative Agent, Swing Line Lender and L/C Issuer; Wells Fargo Bank, National Association, as an L/C Issuer; and the other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Lenders and L/C Issuers party thereto (incorporated by reference to Exhibit 10.6 to our Quarterly Report on Form 10-Q for the</w:t>
              </w:r>
            </w:hyperlink>
          </w:p>
        </w:tc>
        <w:tc>
          <w:tcPr>
            <w:tcW w:w="300" w:type="dxa"/>
            <w:vAlign w:val="bottom"/>
            <w:tcBorders>
              <w:top w:val="single" w:sz="8" w:color="0000FF"/>
            </w:tcBorders>
            <w:gridSpan w:val="9"/>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8"/>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quarter ended September 30, 2017).</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10.10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364-Day Credit Agreement dated January 16, 2015 among Plains All American Pipeline, L.P., as Borrower; Bank of America, N.A.,</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8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as Administrative Agent; Citibank, N.A., JPMorgan Chase Bank N.A. and Wells Fargo Bank, National Association, as Co-</w:t>
              </w:r>
            </w:hyperlink>
          </w:p>
        </w:tc>
        <w:tc>
          <w:tcPr>
            <w:tcW w:w="640" w:type="dxa"/>
            <w:vAlign w:val="bottom"/>
            <w:tcBorders>
              <w:top w:val="single" w:sz="8" w:color="0000FF"/>
            </w:tcBorders>
            <w:gridSpan w:val="15"/>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Syndication Agents; DNB Bank ASA, New York Branch and Mizuho Bank, Ltd., as Co-Documentation Agents; the other Lenders</w:t>
              </w:r>
            </w:hyperlink>
          </w:p>
        </w:tc>
        <w:tc>
          <w:tcPr>
            <w:tcW w:w="22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party thereto; and Merrill Lynch, Pierce, Fenner &amp; Smith Incorporated, Citigroup Global Markets Inc., DNB Markets, Inc., J.P.</w:t>
              </w:r>
            </w:hyperlink>
          </w:p>
        </w:tc>
        <w:tc>
          <w:tcPr>
            <w:tcW w:w="48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Morgan Securities LLC, Mizuho Bank, Ltd. and Wells Fargo Securities, LLC, as Joint Lead Arrangers and Joint Bookrunners</w:t>
              </w:r>
            </w:hyperlink>
          </w:p>
        </w:tc>
        <w:tc>
          <w:tcPr>
            <w:tcW w:w="58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gridSpan w:val="28"/>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(incorporated by reference to Exhibit 10.1 to our Current Report on Form 8-K filed January 20, 2015).</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60" w:type="dxa"/>
            <w:vAlign w:val="bottom"/>
            <w:gridSpan w:val="7"/>
            <w:shd w:val="clear" w:color="auto" w:fill="0000FF"/>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10.11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First Amendment to 364-Day Credit Agreement dated August 14, 2015 among Plains All American Pipeline, L.P., as Borrower;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6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Bank of America, N.A., as Administrative Agent; Citibank, N.A., JPMorgan Chase Bank N.A. and Wells Fargo Bank, National</w:t>
              </w:r>
            </w:hyperlink>
          </w:p>
        </w:tc>
        <w:tc>
          <w:tcPr>
            <w:tcW w:w="40" w:type="dxa"/>
            <w:vAlign w:val="bottom"/>
            <w:tcBorders>
              <w:top w:val="single" w:sz="8" w:color="0000FF"/>
            </w:tcBorders>
            <w:gridSpan w:val="2"/>
          </w:tcPr>
          <w:p>
            <w:pPr>
              <w:spacing w:after="0"/>
              <w:rPr>
                <w:sz w:val="17"/>
                <w:szCs w:val="17"/>
                <w:color w:val="auto"/>
              </w:rPr>
            </w:pPr>
          </w:p>
        </w:tc>
        <w:tc>
          <w:tcPr>
            <w:tcW w:w="420" w:type="dxa"/>
            <w:vAlign w:val="bottom"/>
            <w:gridSpan w:val="12"/>
          </w:tcPr>
          <w:p>
            <w:pPr>
              <w:spacing w:after="0"/>
              <w:rPr>
                <w:sz w:val="17"/>
                <w:szCs w:val="17"/>
                <w:color w:val="auto"/>
              </w:rPr>
            </w:pPr>
          </w:p>
        </w:tc>
      </w:tr>
    </w:tbl>
    <w:p>
      <w:pPr>
        <w:spacing w:after="0" w:line="9" w:lineRule="exact"/>
        <w:rPr>
          <w:sz w:val="20"/>
          <w:szCs w:val="20"/>
          <w:color w:val="auto"/>
        </w:rPr>
      </w:pPr>
    </w:p>
    <w:p>
      <w:pPr>
        <w:ind w:left="1760" w:right="120"/>
        <w:spacing w:after="0" w:line="261"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Association, as Co-Syndication Agents; DNB Bank ASA, New York Branch and Mizuho Bank, Ltd., as Co-Documentation Agents;</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the other Lenders party thereto; and Merrill Lynch, Pierce, Fenner &amp; Smith Incorporated, Citigroup Global Markets Inc., DNB</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Markets, Inc., J.P. Morgan Securities LLC, Mizuho Bank, Ltd. and Wells Fargo Securities, LLC, as Joint Lead Arrangers and Joint</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Bookrunners (incorporated by reference to Exhibit 10.1 to our Current Report on Form 8-K filed August 14, 2015).</w:t>
        </w:r>
      </w:hyperlink>
    </w:p>
    <w:p>
      <w:pPr>
        <w:sectPr>
          <w:pgSz w:w="11900" w:h="16838" w:orient="portrait"/>
          <w:cols w:equalWidth="0" w:num="1">
            <w:col w:w="11380"/>
          </w:cols>
          <w:pgMar w:left="240" w:top="108" w:right="27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2"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380"/>
          </w:cols>
          <w:pgMar w:left="240" w:top="108" w:right="279" w:bottom="1440" w:gutter="0" w:footer="0" w:header="0"/>
          <w:type w:val="continuous"/>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spacing w:after="0" w:line="274" w:lineRule="auto"/>
        <w:rPr>
          <w:rFonts w:ascii="Times New Roman" w:cs="Times New Roman" w:eastAsia="Times New Roman" w:hAnsi="Times New Roman"/>
          <w:sz w:val="17"/>
          <w:szCs w:val="17"/>
          <w:u w:val="single" w:color="auto"/>
          <w:color w:val="0000FF"/>
        </w:rPr>
      </w:pPr>
      <w:hyperlink r:id="rId122">
        <w:r>
          <w:rPr>
            <w:rFonts w:ascii="Times New Roman" w:cs="Times New Roman" w:eastAsia="Times New Roman" w:hAnsi="Times New Roman"/>
            <w:sz w:val="17"/>
            <w:szCs w:val="17"/>
            <w:u w:val="single" w:color="auto"/>
            <w:color w:val="0000FF"/>
          </w:rPr>
          <w:t>Second Amendment to 364-Day Credit Agreement dated as of August 11, 2016 among Plains All American Pipeline, L.P., as</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Borrower; Bank of America, N.A., as Administrative Agent; Citibank, N.A., JPMorgan Chase Bank N.A. and Wells Fargo Bank,</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National Association, as Co-Syndication Agents; DNB Bank ASA, New York Branch and Mizuho Bank Ltd., as Co-Documentation</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Agents; the other Lenders party thereto; and Merrill Lynch, Pierce, Fenner &amp; Smith Incorporated, Citigroup Global Markets Inc.,</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DNB Markets, Inc., J.P. Morgan Securities LLC, Mizuho Bank, Ltd. and Wells Fargo Securities, LLC, as Joint Lead Arrangers and</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Joint Bookrunners (incorporated by reference to Exhibit 10.2 to our Current Report on Form 8-K filed August 17, 2016).</w:t>
        </w:r>
      </w:hyperlink>
    </w:p>
    <w:p>
      <w:pPr>
        <w:spacing w:after="0" w:line="20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1480" w:space="280"/>
            <w:col w:w="9620"/>
          </w:cols>
          <w:pgMar w:left="240" w:top="121" w:right="279" w:bottom="1440" w:gutter="0" w:footer="0" w:header="0"/>
        </w:sectPr>
      </w:pPr>
    </w:p>
    <w:p>
      <w:pPr>
        <w:spacing w:after="0" w:line="271" w:lineRule="exact"/>
        <w:rPr>
          <w:rFonts w:ascii="Times New Roman" w:cs="Times New Roman" w:eastAsia="Times New Roman" w:hAnsi="Times New Roman"/>
          <w:sz w:val="17"/>
          <w:szCs w:val="17"/>
          <w:u w:val="single" w:color="auto"/>
          <w:color w:val="0000FF"/>
        </w:rPr>
      </w:pPr>
    </w:p>
    <w:tbl>
      <w:tblPr>
        <w:tblLayout w:type="fixed"/>
        <w:tblInd w:w="240" w:type="dxa"/>
        <w:tblCellMar>
          <w:top w:w="0" w:type="dxa"/>
          <w:left w:w="0" w:type="dxa"/>
          <w:bottom w:w="0" w:type="dxa"/>
          <w:right w:w="0" w:type="dxa"/>
        </w:tblCellMar>
      </w:tblPr>
      <w:tr>
        <w:trPr>
          <w:trHeight w:val="234"/>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10.13</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24"/>
            <w:vMerge w:val="restart"/>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Third Amendment to 364-Day Credit Agreement dated as of August 10, 2017 among Plains All American Pipeline, L.P., as</w:t>
              </w:r>
            </w:hyperlink>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2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Borrower; Bank of America, N.A., as Administrative Agent; Citibank, N.A., JPMorgan Chase Bank N.A. and Wells Fargo Bank,</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National Association, as Co-Syndication Agents; DNB Bank ASA, New York Branch and Mizuho Bank Ltd., as Co-Documentation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Agents; the other Lenders party thereto; and Merrill Lynch, Pierce, Fenner &amp; Smith Incorporated, Citigroup Global Markets Inc.,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DNB Markets, Inc., J.P. Morgan Securities LLC, Mizuho Bank, Ltd. and Wells Fargo Securities, LLC, as Joint Lead Arrangers and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Joint Bookrunners (incorporated by reference to Exhibit 10.5 to our Quarterly Report on Form 10-Q for the quarter ended September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123">
              <w:r>
                <w:rPr>
                  <w:rFonts w:ascii="Times New Roman" w:cs="Times New Roman" w:eastAsia="Times New Roman" w:hAnsi="Times New Roman"/>
                  <w:sz w:val="18"/>
                  <w:szCs w:val="18"/>
                  <w:color w:val="0000FF"/>
                  <w:w w:val="95"/>
                </w:rPr>
                <w:t>30, 2017).</w:t>
              </w:r>
            </w:hyperlink>
          </w:p>
        </w:tc>
        <w:tc>
          <w:tcPr>
            <w:tcW w:w="7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30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10.14</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Contribution, Conveyance and Assumption Agreement among Plains All American Pipeline, L.P. and certain other parties dated as of</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November 23, 1998 (incorporated by reference to Exhibit 10.3 to our Annual Report on Form 10-K for the year ended December 31,</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24">
              <w:r>
                <w:rPr>
                  <w:rFonts w:ascii="Times New Roman" w:cs="Times New Roman" w:eastAsia="Times New Roman" w:hAnsi="Times New Roman"/>
                  <w:sz w:val="18"/>
                  <w:szCs w:val="18"/>
                  <w:color w:val="0000FF"/>
                  <w:w w:val="94"/>
                </w:rPr>
                <w:t>1998).</w:t>
              </w:r>
            </w:hyperlink>
          </w:p>
        </w:tc>
        <w:tc>
          <w:tcPr>
            <w:tcW w:w="2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30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10.15</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First Amendment to Contribution, Conveyance and Assumption Agreement dated as of December 15, 1998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4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reference to Exhibit 10.13 to our Annual Report on Form 10-K for the year ended December 31, 1998).</w:t>
              </w:r>
            </w:hyperlink>
          </w:p>
        </w:tc>
        <w:tc>
          <w:tcPr>
            <w:tcW w:w="1540" w:type="dxa"/>
            <w:vAlign w:val="bottom"/>
            <w:tcBorders>
              <w:top w:val="single" w:sz="8" w:color="0000FF"/>
            </w:tcBorders>
            <w:gridSpan w:val="5"/>
          </w:tcPr>
          <w:p>
            <w:pPr>
              <w:spacing w:after="0"/>
              <w:rPr>
                <w:sz w:val="17"/>
                <w:szCs w:val="17"/>
                <w:color w:val="auto"/>
              </w:rPr>
            </w:pPr>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10.16</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Contribution, Assignment and Amendment Agreement dated as of June 27, 2001, among Plains All American Pipeline, L.P., Plains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Marketing, L.P., All American Pipeline, L.P., Plains AAP, L.P., Plains All American GP LLC and Plains Marketing GP Inc.</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(incorporated by reference to Exhibit 10.1 to our Current Report on Form 8-K filed June 27, 2001).</w:t>
              </w:r>
            </w:hyperlink>
          </w:p>
        </w:tc>
        <w:tc>
          <w:tcPr>
            <w:tcW w:w="1740" w:type="dxa"/>
            <w:vAlign w:val="bottom"/>
            <w:tcBorders>
              <w:top w:val="single" w:sz="8" w:color="0000FF"/>
            </w:tcBorders>
            <w:gridSpan w:val="6"/>
          </w:tcPr>
          <w:p>
            <w:pPr>
              <w:spacing w:after="0"/>
              <w:rPr>
                <w:sz w:val="17"/>
                <w:szCs w:val="17"/>
                <w:color w:val="auto"/>
              </w:rPr>
            </w:pPr>
          </w:p>
        </w:tc>
        <w:tc>
          <w:tcPr>
            <w:tcW w:w="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10.17</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Contribution, Assignment and Amendment Agreement dated as of June 8, 2001, among Plains All American Inc., Plains AAP, L.P.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and Plains All American GP LLC (incorporated by reference to Exhibit 10.1 to our Current Report on Form 8-K filed June 11, 2001).</w:t>
              </w:r>
            </w:hyperlink>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10.18</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0000FF"/>
                </w:rPr>
                <w:t>Separation Agreement dated as of June 8, 2001 among Plains Resources Inc., Plains All American Inc., Plains All</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American GP LLC, Plains AAP, L.P. and Plains All American Pipeline, L.P. (incorporated by reference to Exhibit 10.2 to our Current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Report on Form 8-K filed June 11, 2001).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10.19***</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FF"/>
                </w:rPr>
                <w:t>Pension and Employee Benefits Assumption and Transition Agreement dated as of June 8, 2001 among Plains Resources Inc., Plains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All American Inc. and Plains All American GP LLC (incorporated by reference to Exhibit 10.3 to our Current Report on Form 8-K</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2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filed June 11, 2001).</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10.20</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FF"/>
                </w:rPr>
                <w:t>Contribution and Assumption Agreement dated December 28, 2007, by and between Plains AAP, L.P. and PAA GP LLC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8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(incorporated by reference to Exhibit 10.2 to our Current Report on Form 8-K filed January 4, 2008).</w:t>
              </w:r>
            </w:hyperlink>
          </w:p>
        </w:tc>
        <w:tc>
          <w:tcPr>
            <w:tcW w:w="1380" w:type="dxa"/>
            <w:vAlign w:val="bottom"/>
            <w:tcBorders>
              <w:top w:val="single" w:sz="8" w:color="0000FF"/>
            </w:tcBorders>
            <w:gridSpan w:val="4"/>
          </w:tcPr>
          <w:p>
            <w:pPr>
              <w:spacing w:after="0"/>
              <w:rPr>
                <w:sz w:val="17"/>
                <w:szCs w:val="17"/>
                <w:color w:val="auto"/>
              </w:rPr>
            </w:pPr>
          </w:p>
        </w:tc>
        <w:tc>
          <w:tcPr>
            <w:tcW w:w="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10.21</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FF"/>
                </w:rPr>
                <w:t>Asset Purchase and Sale Agreement dated February 28, 2001 between Murphy Oil Company Ltd. and Plains Marketing Canada, L.P.</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(incorporated by reference to Exhibit 99.1 to our Current Report on Form 8-K filed May 10, 2001).</w:t>
              </w:r>
            </w:hyperlink>
          </w:p>
        </w:tc>
        <w:tc>
          <w:tcPr>
            <w:tcW w:w="2420" w:type="dxa"/>
            <w:vAlign w:val="bottom"/>
            <w:tcBorders>
              <w:top w:val="single" w:sz="8" w:color="0000FF"/>
            </w:tcBorders>
            <w:gridSpan w:val="14"/>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10.22</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Transportation Agreement dated July 30, 1993, between All American Pipeline Company and Exxon Company, U.S.A.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by reference to Exhibit 10.9 to our Registration Statement on Form S-1 filed September 23, 1998, File No. 333-64107).</w:t>
              </w:r>
            </w:hyperlink>
          </w:p>
        </w:tc>
        <w:tc>
          <w:tcPr>
            <w:tcW w:w="100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10.23</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Transportation Agreement dated August 2, 1993, among All American Pipeline Company, Texaco Trading and Transportation Inc.,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02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Chevron U.S.A. and Sun Operating Limited Partnership (incorporated by reference to Exhibit 10.10 to our Registration Statement 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S-1 filed September 23, 1998, File No. 333-64107).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10.24</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Agreement for Purchase and Sale of Membership Interest in Scurlock Permian LLC between Marathon Ashland LLC and Plains</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6820" w:type="dxa"/>
            <w:vAlign w:val="bottom"/>
            <w:gridSpan w:val="11"/>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gridSpan w:val="24"/>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Marketing, L.P. dated as of March 17, 1999 (incorporated by reference to Exhibit 10.16 to our Annual Report on Form 10-K for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year ended December 31, 1998).</w:t>
              </w:r>
            </w:hyperlink>
          </w:p>
        </w:tc>
        <w:tc>
          <w:tcPr>
            <w:tcW w:w="7120" w:type="dxa"/>
            <w:vAlign w:val="bottom"/>
            <w:tcBorders>
              <w:top w:val="single" w:sz="8" w:color="0000FF"/>
            </w:tcBorders>
            <w:gridSpan w:val="14"/>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10.25</w:t>
            </w:r>
          </w:p>
        </w:tc>
        <w:tc>
          <w:tcPr>
            <w:tcW w:w="10260" w:type="dxa"/>
            <w:vAlign w:val="bottom"/>
            <w:gridSpan w:val="25"/>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FF"/>
                </w:rPr>
                <w:t>Membership Interest Purchase Agreement by and between Sempra Energy Trading Corporation and PAA/Vulcan Gas Storage, LLC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16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dated August 19, 2005 (incorporated by reference to Exhibit 1.2 to our Current Report on Form 8-K filed September 19, 2005).</w:t>
              </w:r>
            </w:hyperlink>
          </w:p>
        </w:tc>
        <w:tc>
          <w:tcPr>
            <w:tcW w:w="320" w:type="dxa"/>
            <w:vAlign w:val="bottom"/>
            <w:tcBorders>
              <w:top w:val="single" w:sz="8" w:color="0000FF"/>
            </w:tcBorders>
            <w:gridSpan w:val="4"/>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380"/>
          </w:cols>
          <w:pgMar w:left="240" w:top="121" w:right="27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Contribution Agreement dated as of April 29, 2010 by and among PAA Natural Gas Storage, L.P., PNGS GP LLC, Plains All</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American Pipeline, L.P., PAA Natural Gas Storage, LLC, PAA/Vulcan Gas Storage, LLC, Plains Marketing, L.P. and Plains</w:t>
              </w:r>
            </w:hyperlink>
          </w:p>
        </w:tc>
        <w:tc>
          <w:tcPr>
            <w:tcW w:w="120" w:type="dxa"/>
            <w:vAlign w:val="bottom"/>
            <w:tcBorders>
              <w:top w:val="single" w:sz="8" w:color="0000FF"/>
            </w:tcBorders>
          </w:tcPr>
          <w:p>
            <w:pPr>
              <w:spacing w:after="0"/>
              <w:rPr>
                <w:sz w:val="17"/>
                <w:szCs w:val="17"/>
                <w:color w:val="auto"/>
              </w:rPr>
            </w:pPr>
          </w:p>
        </w:tc>
        <w:tc>
          <w:tcPr>
            <w:tcW w:w="58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Marketing GP Inc. (incorporated by reference to Exhibit 10.1 to PNG’s Current Report on Form 8-K filed May 4, 2010).</w:t>
              </w:r>
            </w:hyperlink>
          </w:p>
        </w:tc>
        <w:tc>
          <w:tcPr>
            <w:tcW w:w="920" w:type="dxa"/>
            <w:vAlign w:val="bottom"/>
            <w:gridSpan w:val="17"/>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Omnibus Agreement dated May 5, 2010 by and among Plains All American GP LLC, Plains All American Pipeline, L.P., PNGS GP</w:t>
              </w:r>
            </w:hyperlink>
          </w:p>
        </w:tc>
        <w:tc>
          <w:tcPr>
            <w:tcW w:w="8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LLC and PAA Natural Gas Storage, L.P. (incorporated by reference to Exhibit 10.1 to PNG’s Current Report on Form 8-K filed</w:t>
              </w:r>
            </w:hyperlink>
          </w:p>
        </w:tc>
        <w:tc>
          <w:tcPr>
            <w:tcW w:w="4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May 11, 2010).</w:t>
              </w:r>
            </w:hyperlink>
          </w:p>
        </w:tc>
        <w:tc>
          <w:tcPr>
            <w:tcW w:w="8500" w:type="dxa"/>
            <w:vAlign w:val="bottom"/>
            <w:gridSpan w:val="28"/>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Omnibus Agreement by and among PAA GP Holdings LLC, Plains GP Holdings, L.P., Plains All American GP LLC, Plains AAP,</w:t>
              </w:r>
            </w:hyperlink>
          </w:p>
        </w:tc>
        <w:tc>
          <w:tcPr>
            <w:tcW w:w="22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L.P., PAA GP LLC, and Plains All American Pipeline, L.P., dated November 15, 2016 (incorporated by reference to Exhibit 10.1 to</w:t>
              </w:r>
            </w:hyperlink>
          </w:p>
        </w:tc>
        <w:tc>
          <w:tcPr>
            <w:tcW w:w="1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29"/>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our Current Report on Form 8-K filed November 21, 2016).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Amended and Restated Administrative Agreement by and among PAA GP Holdings LLC, Plains GP Holdings, L.P., Plains All</w:t>
              </w:r>
            </w:hyperlink>
          </w:p>
        </w:tc>
        <w:tc>
          <w:tcPr>
            <w:tcW w:w="46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29"/>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American GP LLC, Plains AAP, L.P., PAA GP LLC, and Plains All American Pipeline, L.P., dated November 15, 2016 (incorporated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by reference to Exhibit 10.2 to our Current Report on Form 8-K filed November 21, 2016).</w:t>
              </w:r>
            </w:hyperlink>
          </w:p>
        </w:tc>
        <w:tc>
          <w:tcPr>
            <w:tcW w:w="302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Amended and Restated Employment Agreement between Plains All American GP LLC and Greg L. Armstrong dated as of June 30,</w:t>
              </w:r>
            </w:hyperlink>
          </w:p>
        </w:tc>
        <w:tc>
          <w:tcPr>
            <w:tcW w:w="10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29"/>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2001 (incorporated by reference to Exhibit 10.1 to our Quarterly Report on Form 10-Q for the quarter ended September 30, 2001).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First Amendment to Amended and Restated Employment Agreement dated December 4, 2008 between Plains All American GP LLC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29"/>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and Greg L. Armstrong (incorporated by reference to Exhibit 10.49 to our Annual Report on Form 10-K for the year ended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December 31, 2008).</w:t>
              </w:r>
            </w:hyperlink>
          </w:p>
        </w:tc>
        <w:tc>
          <w:tcPr>
            <w:tcW w:w="760" w:type="dxa"/>
            <w:vAlign w:val="bottom"/>
            <w:gridSpan w:val="1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gridSpan w:val="2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Waiver Agreement dated as of December 23, 2010 between Plains All American GP LLC and Greg L. Armstrong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reference to Exhibit 10.31 to our Annual Report on Form 10-K for the year ended December 31, 2010).</w:t>
              </w:r>
            </w:hyperlink>
          </w:p>
        </w:tc>
        <w:tc>
          <w:tcPr>
            <w:tcW w:w="1980" w:type="dxa"/>
            <w:vAlign w:val="bottom"/>
            <w:tcBorders>
              <w:top w:val="single" w:sz="8" w:color="0000FF"/>
            </w:tcBorders>
            <w:gridSpan w:val="14"/>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Waiver Agreement dated October 21, 2013 to the Amended and Restated Employment Agreement dated June 30, 2001 of Greg L.</w:t>
              </w:r>
            </w:hyperlink>
          </w:p>
        </w:tc>
        <w:tc>
          <w:tcPr>
            <w:tcW w:w="22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29"/>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Armstrong (incorporated by reference to Exhibit 10.2 to our Current Report on Form 8-K filed October 25, 2013).</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gridSpan w:val="2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Employment Agreement between Plains All American GP LLC and Harry N. Pefanis dated as of June 30,</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29"/>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2001 (incorporated by reference to Exhibit 10.2 to our Quarterly Report on Form 10-Q for the quarter ended September 30, 2001).</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First Amendment to Amended and Restated Employment Agreement dated December 4, 2008 between Plains All American GP LLC</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and Harry N. Pefanis (incorporated by reference to Exhibit 10.50 to our Annual Report on Form 10-K for the year ended</w:t>
              </w:r>
            </w:hyperlink>
          </w:p>
        </w:tc>
        <w:tc>
          <w:tcPr>
            <w:tcW w:w="920" w:type="dxa"/>
            <w:vAlign w:val="bottom"/>
            <w:gridSpan w:val="1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29"/>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December 31, 2008).</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Waiver Agreement dated as of December 23, 2010 between Plains All American GP LLC and Harry N. Pefanis (incorporated by</w:t>
              </w:r>
            </w:hyperlink>
          </w:p>
        </w:tc>
        <w:tc>
          <w:tcPr>
            <w:tcW w:w="34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reference to Exhibit 10.32 to our Annual Report on Form 10-K for the year ended December 31, 2010).</w:t>
              </w:r>
            </w:hyperlink>
          </w:p>
        </w:tc>
        <w:tc>
          <w:tcPr>
            <w:tcW w:w="2160" w:type="dxa"/>
            <w:vAlign w:val="bottom"/>
            <w:gridSpan w:val="21"/>
          </w:tcPr>
          <w:p>
            <w:pPr>
              <w:spacing w:after="0"/>
              <w:rPr>
                <w:sz w:val="17"/>
                <w:szCs w:val="17"/>
                <w:color w:val="auto"/>
              </w:rPr>
            </w:pPr>
          </w:p>
        </w:tc>
      </w:tr>
      <w:tr>
        <w:trPr>
          <w:trHeight w:val="628"/>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Waiver Agreement dated October 21, 2013 to the Amended and Restated Employment Agreement dated June 30, 2001 of Harry N.</w:t>
              </w:r>
            </w:hyperlink>
          </w:p>
        </w:tc>
        <w:tc>
          <w:tcPr>
            <w:tcW w:w="16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9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Pefanis (incorporated by reference to Exhibit 10.3 to our Current Report on Form 8-K filed October 25, 2013).</w:t>
              </w:r>
            </w:hyperlink>
          </w:p>
        </w:tc>
        <w:tc>
          <w:tcPr>
            <w:tcW w:w="1640" w:type="dxa"/>
            <w:vAlign w:val="bottom"/>
            <w:gridSpan w:val="19"/>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Employment Agreement between Plains All American GP LLC and Willie Chiang dated July 10, 2015 (incorporated by reference to</w:t>
              </w:r>
            </w:hyperlink>
          </w:p>
        </w:tc>
        <w:tc>
          <w:tcPr>
            <w:tcW w:w="6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Exhibit 10.53 to our Annual Report on Form 10-K for the year ended December 31, 2015).</w:t>
              </w:r>
            </w:hyperlink>
          </w:p>
        </w:tc>
        <w:tc>
          <w:tcPr>
            <w:tcW w:w="3060" w:type="dxa"/>
            <w:vAlign w:val="bottom"/>
            <w:gridSpan w:val="24"/>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2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First Amendment to Plains AAP, L.P. Class B Restricted Units Agreement dated August 25, 2016 (Willie Chiang) (incorporated by</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4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reference to Exhibit 10.8 to our Quarterly Report on Form 10-Q for the quarter ended September 30, 2016).</w:t>
              </w:r>
            </w:hyperlink>
          </w:p>
        </w:tc>
        <w:tc>
          <w:tcPr>
            <w:tcW w:w="1680" w:type="dxa"/>
            <w:vAlign w:val="bottom"/>
            <w:tcBorders>
              <w:top w:val="single" w:sz="8" w:color="0000FF"/>
            </w:tcBorders>
            <w:gridSpan w:val="13"/>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gridSpan w:val="2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Amendment dated August 25, 2016 to LTIP Grant Letter dated August 24, 2015 (Willie Chiang)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Exhibit 10.7 to our Quarterly Report on Form 10-Q for the quarter ended September 30, 2016).</w:t>
              </w:r>
            </w:hyperlink>
          </w:p>
        </w:tc>
        <w:tc>
          <w:tcPr>
            <w:tcW w:w="2220" w:type="dxa"/>
            <w:vAlign w:val="bottom"/>
            <w:tcBorders>
              <w:top w:val="single" w:sz="8" w:color="0000FF"/>
            </w:tcBorders>
            <w:gridSpan w:val="9"/>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0" w:type="dxa"/>
            <w:vAlign w:val="bottom"/>
            <w:gridSpan w:val="2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Quarterly Bonus Program Summary (incorporated by reference to Exhibit 10.21 to our Annual Report on Form 10-K for the year</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2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ended December 31, 2005).</w:t>
              </w:r>
            </w:hyperlink>
          </w:p>
        </w:tc>
        <w:tc>
          <w:tcPr>
            <w:tcW w:w="28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08" w:right="299" w:bottom="1440" w:gutter="0" w:footer="0" w:header="0"/>
        </w:sect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360"/>
          </w:cols>
          <w:pgMar w:left="240" w:top="108" w:right="29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Director Compensation Summary (incorporated by reference to Exhibit 10.43 to our Annual Report on Form 10-K for the year ended</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December 31, 2016).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Plains All American GP LLC 2005 Long-Term Incentive Plan (incorporated by reference to Exhibit 10.1 to our Current Report on</w:t>
              </w:r>
            </w:hyperlink>
          </w:p>
        </w:tc>
        <w:tc>
          <w:tcPr>
            <w:tcW w:w="22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Form 8-K filed January 26, 2005).</w:t>
              </w:r>
            </w:hyperlink>
          </w:p>
        </w:tc>
        <w:tc>
          <w:tcPr>
            <w:tcW w:w="7100" w:type="dxa"/>
            <w:vAlign w:val="bottom"/>
            <w:gridSpan w:val="28"/>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First Amendment to Plains All American GP LLC 2005 Long-Term Incentive Plan dated December 4, 2008 (incorporated by</w:t>
              </w:r>
            </w:hyperlink>
          </w:p>
        </w:tc>
        <w:tc>
          <w:tcPr>
            <w:tcW w:w="580" w:type="dxa"/>
            <w:vAlign w:val="bottom"/>
            <w:gridSpan w:val="1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reference to Exhibit 10.51 to our Annual Report on Form 10-K for the year ended December 31, 2008).</w:t>
              </w:r>
            </w:hyperlink>
          </w:p>
        </w:tc>
        <w:tc>
          <w:tcPr>
            <w:tcW w:w="2140" w:type="dxa"/>
            <w:vAlign w:val="bottom"/>
            <w:gridSpan w:val="18"/>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Plains All American GP LLC 1998 Long-Term Incentive Plan (incorporated by reference to Exhibit 99.1 to Registration Statement</w:t>
              </w:r>
            </w:hyperlink>
          </w:p>
        </w:tc>
        <w:tc>
          <w:tcPr>
            <w:tcW w:w="16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on Form S-8, File No. 333-74920).</w:t>
              </w:r>
            </w:hyperlink>
          </w:p>
        </w:tc>
        <w:tc>
          <w:tcPr>
            <w:tcW w:w="7060" w:type="dxa"/>
            <w:vAlign w:val="bottom"/>
            <w:gridSpan w:val="27"/>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First Amendment to Plains All American GP LLC 1998 Long-Term Incentive Plan dated June 27, 2003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Exhibit 10.1 to our Quarterly Report on Form 10-Q for the quarter ended June 30, 2003).</w:t>
              </w:r>
            </w:hyperlink>
          </w:p>
        </w:tc>
        <w:tc>
          <w:tcPr>
            <w:tcW w:w="3180" w:type="dxa"/>
            <w:vAlign w:val="bottom"/>
            <w:gridSpan w:val="21"/>
          </w:tcPr>
          <w:p>
            <w:pPr>
              <w:spacing w:after="0"/>
              <w:rPr>
                <w:sz w:val="17"/>
                <w:szCs w:val="17"/>
                <w:color w:val="auto"/>
              </w:rPr>
            </w:pPr>
          </w:p>
        </w:tc>
      </w:tr>
      <w:tr>
        <w:trPr>
          <w:trHeight w:val="628"/>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Second Amendment to Plains All American GP LLC 1998 Long-Term Incentive Plan dated December 4, 2008 (incorporated by</w:t>
              </w:r>
            </w:hyperlink>
          </w:p>
        </w:tc>
        <w:tc>
          <w:tcPr>
            <w:tcW w:w="38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reference to Exhibit 10.52 to our Annual Report on Form 10-K for the year ended December 31, 2008).</w:t>
              </w:r>
            </w:hyperlink>
          </w:p>
        </w:tc>
        <w:tc>
          <w:tcPr>
            <w:tcW w:w="2140" w:type="dxa"/>
            <w:vAlign w:val="bottom"/>
            <w:gridSpan w:val="18"/>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Plains All American PPX Successor Long-Term Incentive Plan (incorporated by reference to Exhibit 10.45 to our Annual Report on</w:t>
              </w:r>
            </w:hyperlink>
          </w:p>
        </w:tc>
        <w:tc>
          <w:tcPr>
            <w:tcW w:w="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10-K for the year ended December 31, 2006).</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gridSpan w:val="3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Plains AAP, L.P. Class B Restricted Units Agreement (incorporated by reference to Exhibit 10.1 to our Current Report on</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Form 8-K filed January 4, 2008).</w:t>
              </w:r>
            </w:hyperlink>
          </w:p>
        </w:tc>
        <w:tc>
          <w:tcPr>
            <w:tcW w:w="6980" w:type="dxa"/>
            <w:vAlign w:val="bottom"/>
            <w:tcBorders>
              <w:top w:val="single" w:sz="8" w:color="0000FF"/>
            </w:tcBorders>
            <w:gridSpan w:val="20"/>
          </w:tcPr>
          <w:p>
            <w:pPr>
              <w:spacing w:after="0"/>
              <w:rPr>
                <w:sz w:val="17"/>
                <w:szCs w:val="17"/>
                <w:color w:val="auto"/>
              </w:rPr>
            </w:pPr>
          </w:p>
        </w:tc>
        <w:tc>
          <w:tcPr>
            <w:tcW w:w="220" w:type="dxa"/>
            <w:vAlign w:val="bottom"/>
            <w:gridSpan w:val="10"/>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of Amendment to the Plains AAP, L.P. Class B Restricted Units Agreement, dated October 18, 2013 (incorporated by reference</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to Exhibit 10.4 to our Current Report on Form 8-K filed October 25, 2013).</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gridSpan w:val="3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Amendment to Plains AAP, L.P. Class B Restricted Units Agreement dated August 25, 2016 (incorporated by reference to</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Exhibit 10.6 to our Quarterly Report on Form 10-Q for the quarter ended September 30, 2016 filed November 8, 2016).</w:t>
              </w:r>
            </w:hyperlink>
          </w:p>
        </w:tc>
        <w:tc>
          <w:tcPr>
            <w:tcW w:w="180" w:type="dxa"/>
            <w:vAlign w:val="bottom"/>
            <w:gridSpan w:val="9"/>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Plains All American 2013 Long-Term Incentive Plan (incorporated by reference to Exhibit A to our Definitive Proxy Statement filed</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on October 3, 2013).</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Plains All American PNG Successor Long-Term Incentive Plan (incorporated by reference to Exhibit 4.4 to our Registration</w:t>
              </w:r>
            </w:hyperlink>
          </w:p>
        </w:tc>
        <w:tc>
          <w:tcPr>
            <w:tcW w:w="620" w:type="dxa"/>
            <w:vAlign w:val="bottom"/>
            <w:gridSpan w:val="1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Statement on Form S-8 (333-19319) filed December 31, 2013).</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10.54***</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PAA Natural Gas Storage, L.P. 2010 Long-Term Incentive Plan (incorporated by reference to Exhibit 10.2 to PNG’s Current Report</w:t>
              </w:r>
            </w:hyperlink>
          </w:p>
        </w:tc>
        <w:tc>
          <w:tcPr>
            <w:tcW w:w="10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on Form 8-K filed May 11, 2010).</w:t>
              </w:r>
            </w:hyperlink>
          </w:p>
        </w:tc>
        <w:tc>
          <w:tcPr>
            <w:tcW w:w="7120" w:type="dxa"/>
            <w:vAlign w:val="bottom"/>
            <w:gridSpan w:val="29"/>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Form of PAA LTIP Grant Letter for Officers (February 2013) (incorporated by reference to Exhibit 10.1 to our Quarterly Report on</w:t>
              </w:r>
            </w:hyperlink>
          </w:p>
        </w:tc>
        <w:tc>
          <w:tcPr>
            <w:tcW w:w="12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10-Q for the quarter ended March 31, 2013).</w:t>
              </w:r>
            </w:hyperlink>
          </w:p>
        </w:tc>
        <w:tc>
          <w:tcPr>
            <w:tcW w:w="5880" w:type="dxa"/>
            <w:vAlign w:val="bottom"/>
            <w:gridSpan w:val="26"/>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10.56***</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Form of PAA LTIP Grant Letter for Officers (August 2016) (incorporated by reference to Exhibit 10.5 to our Quarterly Report on</w:t>
              </w:r>
            </w:hyperlink>
          </w:p>
        </w:tc>
        <w:tc>
          <w:tcPr>
            <w:tcW w:w="26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Form 10-Q for the quarter ended September 30, 2016).</w:t>
              </w:r>
            </w:hyperlink>
          </w:p>
        </w:tc>
        <w:tc>
          <w:tcPr>
            <w:tcW w:w="5640" w:type="dxa"/>
            <w:vAlign w:val="bottom"/>
            <w:gridSpan w:val="25"/>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Form of Director LTIP Grant Letter (February 2017) - Director Grant - Designated Directors and Audit Committee Members (PAA</w:t>
              </w:r>
            </w:hyperlink>
          </w:p>
        </w:tc>
        <w:tc>
          <w:tcPr>
            <w:tcW w:w="14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Plan) (incorporated by reference to Exhibit 10.1 to our Quarterly Report on Form 10-Q for the quarter ended March 31, 2017).</w:t>
              </w:r>
            </w:hyperlink>
          </w:p>
        </w:tc>
        <w:tc>
          <w:tcPr>
            <w:tcW w:w="460" w:type="dxa"/>
            <w:vAlign w:val="bottom"/>
            <w:gridSpan w:val="13"/>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10.58***</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Form of Director LTIP Grant Letter (February 2017) - Audit Committee Supplement (PAA Plan) (incorporated by reference to</w:t>
              </w:r>
            </w:hyperlink>
          </w:p>
        </w:tc>
        <w:tc>
          <w:tcPr>
            <w:tcW w:w="48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Exhibit 10.2 to our Quarterly Report on Form 10-Q for the quarter ended March 31, 2017).</w:t>
              </w:r>
            </w:hyperlink>
          </w:p>
        </w:tc>
        <w:tc>
          <w:tcPr>
            <w:tcW w:w="3040" w:type="dxa"/>
            <w:vAlign w:val="bottom"/>
            <w:gridSpan w:val="20"/>
          </w:tcPr>
          <w:p>
            <w:pPr>
              <w:spacing w:after="0"/>
              <w:rPr>
                <w:sz w:val="17"/>
                <w:szCs w:val="17"/>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10.59***</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80" w:type="dxa"/>
            <w:vAlign w:val="bottom"/>
            <w:gridSpan w:val="3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Director LTIP Grant Letter (February 2017) - Independent Director Grant (PAA Plan) (incorporated by reference to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our Quarterly Report on Form 10-Q for the quarter ended March 31, 2017).</w:t>
              </w:r>
            </w:hyperlink>
          </w:p>
        </w:tc>
        <w:tc>
          <w:tcPr>
            <w:tcW w:w="8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gridSpan w:val="10"/>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Director LTIP Grant Letter (February 2017) - Director Grant - Designated Directors and Audit Committee Members (PAGP</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Plan) (incorporated by reference to Exhibit 10.1 to PAGP’s Quarterly Report on Form 10-Q for the quarter ended March 31, 2017).</w:t>
              </w:r>
            </w:hyperlink>
          </w:p>
        </w:tc>
      </w:tr>
      <w:tr>
        <w:trPr>
          <w:trHeight w:val="412"/>
        </w:trPr>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of Director LTIP Grant Letter (February 2017) - Audit Committee Supplement (PAGP Plan) (incorporated by reference to</w:t>
              </w:r>
            </w:hyperlink>
          </w:p>
        </w:tc>
        <w:tc>
          <w:tcPr>
            <w:tcW w:w="220" w:type="dxa"/>
            <w:vAlign w:val="bottom"/>
            <w:tcBorders>
              <w:top w:val="single" w:sz="8" w:color="0000FF"/>
            </w:tcBorders>
            <w:gridSpan w:val="4"/>
          </w:tcPr>
          <w:p>
            <w:pPr>
              <w:spacing w:after="0"/>
              <w:rPr>
                <w:sz w:val="24"/>
                <w:szCs w:val="24"/>
                <w:color w:val="auto"/>
              </w:rPr>
            </w:pPr>
          </w:p>
        </w:tc>
        <w:tc>
          <w:tcPr>
            <w:tcW w:w="16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32"/>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Exhibit 10.2 to PAGP’s Quarterly Report on Form 10-Q for the quarter ended March 31, 2017).</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340"/>
          </w:cols>
          <w:pgMar w:left="240" w:top="108" w:right="31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63"/>
        </w:trPr>
        <w:tc>
          <w:tcPr>
            <w:tcW w:w="1280" w:type="dxa"/>
            <w:vAlign w:val="bottom"/>
            <w:tcBorders>
              <w:top w:val="single" w:sz="8" w:color="0000EE"/>
            </w:tcBorders>
          </w:tcPr>
          <w:p>
            <w:pPr>
              <w:jc w:val="center"/>
              <w:ind w:right="30"/>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24"/>
                <w:szCs w:val="24"/>
                <w:color w:val="auto"/>
              </w:rPr>
            </w:pP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color w:val="0000FF"/>
                </w:rPr>
                <w:t>Form of Director LTIP Grant Letter (February 2017) - Independent Director Grant (PAGP Plan) (incorporated by reference to Exhibit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PAGP’s Quarterly Report on Form 10-Q for the quarter ended March 31, 2017).</w:t>
              </w:r>
            </w:hyperlink>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24"/>
                <w:szCs w:val="24"/>
                <w:color w:val="auto"/>
              </w:rPr>
            </w:pP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color w:val="0000FF"/>
                </w:rPr>
                <w:t>Form of LTIP Grant Letter for Officers (July 2017) (incorporated by reference to Exhibit 10.4 to our Quarterly Report on Form 10-Q</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 the quarter ended June 30, 2017).</w:t>
              </w:r>
            </w:hyperlink>
          </w:p>
        </w:tc>
        <w:tc>
          <w:tcPr>
            <w:tcW w:w="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Plains GP Holdings, L.P. Long Term Incentive Plan, (incorporated by reference to Exhibit 10.3 to PAGP’s Current Report on Form 8-</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K filed October 25, 2013).</w:t>
              </w:r>
            </w:hyperlink>
          </w:p>
        </w:tc>
        <w:tc>
          <w:tcPr>
            <w:tcW w:w="7700" w:type="dxa"/>
            <w:vAlign w:val="bottom"/>
            <w:gridSpan w:val="9"/>
          </w:tcPr>
          <w:p>
            <w:pPr>
              <w:spacing w:after="0"/>
              <w:rPr>
                <w:sz w:val="17"/>
                <w:szCs w:val="17"/>
                <w:color w:val="auto"/>
              </w:rPr>
            </w:pPr>
          </w:p>
        </w:tc>
      </w:tr>
      <w:tr>
        <w:trPr>
          <w:trHeight w:val="412"/>
        </w:trPr>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12.1 †</w:t>
            </w: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83">
              <w:r>
                <w:rPr>
                  <w:rFonts w:ascii="Times New Roman" w:cs="Times New Roman" w:eastAsia="Times New Roman" w:hAnsi="Times New Roman"/>
                  <w:sz w:val="18"/>
                  <w:szCs w:val="18"/>
                  <w:color w:val="0000FF"/>
                </w:rPr>
                <w:t>Computation of Ratio of Earnings to Fixed Charges and Ratio of Earnings to Combined Fixed Charges and Preferred Unit</w:t>
              </w:r>
            </w:hyperlink>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w:anchor="page183">
              <w:r>
                <w:rPr>
                  <w:rFonts w:ascii="Times New Roman" w:cs="Times New Roman" w:eastAsia="Times New Roman" w:hAnsi="Times New Roman"/>
                  <w:sz w:val="18"/>
                  <w:szCs w:val="18"/>
                  <w:color w:val="0000FF"/>
                  <w:w w:val="97"/>
                </w:rPr>
                <w:t>Distributions.</w:t>
              </w:r>
            </w:hyperlink>
          </w:p>
        </w:tc>
        <w:tc>
          <w:tcPr>
            <w:tcW w:w="7800" w:type="dxa"/>
            <w:vAlign w:val="bottom"/>
            <w:tcBorders>
              <w:top w:val="single" w:sz="8" w:color="0000FF"/>
            </w:tcBorders>
            <w:gridSpan w:val="8"/>
          </w:tcPr>
          <w:p>
            <w:pPr>
              <w:spacing w:after="0"/>
              <w:rPr>
                <w:sz w:val="17"/>
                <w:szCs w:val="17"/>
                <w:color w:val="auto"/>
              </w:rPr>
            </w:pPr>
          </w:p>
        </w:tc>
        <w:tc>
          <w:tcPr>
            <w:tcW w:w="820" w:type="dxa"/>
            <w:vAlign w:val="bottom"/>
            <w:gridSpan w:val="2"/>
          </w:tcPr>
          <w:p>
            <w:pPr>
              <w:spacing w:after="0"/>
              <w:rPr>
                <w:sz w:val="17"/>
                <w:szCs w:val="17"/>
                <w:color w:val="auto"/>
              </w:rPr>
            </w:pPr>
          </w:p>
        </w:tc>
      </w:tr>
      <w:tr>
        <w:trPr>
          <w:trHeight w:val="412"/>
        </w:trPr>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21.1 †</w:t>
            </w: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84">
              <w:r>
                <w:rPr>
                  <w:rFonts w:ascii="Times New Roman" w:cs="Times New Roman" w:eastAsia="Times New Roman" w:hAnsi="Times New Roman"/>
                  <w:sz w:val="18"/>
                  <w:szCs w:val="18"/>
                  <w:color w:val="0000FF"/>
                </w:rPr>
                <w:t>List of Subsidiaries of Plains All American Pipeline, L.P.</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23.1 †</w:t>
            </w: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86">
              <w:r>
                <w:rPr>
                  <w:rFonts w:ascii="Times New Roman" w:cs="Times New Roman" w:eastAsia="Times New Roman" w:hAnsi="Times New Roman"/>
                  <w:sz w:val="18"/>
                  <w:szCs w:val="18"/>
                  <w:color w:val="0000FF"/>
                </w:rPr>
                <w:t>Consent of PricewaterhouseCoopers LLP.</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31.1 †</w:t>
            </w: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87">
              <w:r>
                <w:rPr>
                  <w:rFonts w:ascii="Times New Roman" w:cs="Times New Roman" w:eastAsia="Times New Roman" w:hAnsi="Times New Roman"/>
                  <w:sz w:val="18"/>
                  <w:szCs w:val="18"/>
                  <w:color w:val="0000FF"/>
                </w:rPr>
                <w:t>Certification of Principal Executive Officer pursuant to Exchange Act Rules 13a-14(a) and 15d-14(a).</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tcBorders>
              <w:left w:val="single" w:sz="8" w:color="0000FF"/>
            </w:tcBorders>
            <w:gridSpan w:val="3"/>
          </w:tcPr>
          <w:p>
            <w:pPr>
              <w:spacing w:after="0" w:line="20" w:lineRule="exact"/>
              <w:rPr>
                <w:sz w:val="1"/>
                <w:szCs w:val="1"/>
                <w:color w:val="auto"/>
              </w:rPr>
            </w:pPr>
          </w:p>
        </w:tc>
      </w:tr>
      <w:tr>
        <w:trPr>
          <w:trHeight w:val="412"/>
        </w:trPr>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31.2 †</w:t>
            </w: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88">
              <w:r>
                <w:rPr>
                  <w:rFonts w:ascii="Times New Roman" w:cs="Times New Roman" w:eastAsia="Times New Roman" w:hAnsi="Times New Roman"/>
                  <w:sz w:val="18"/>
                  <w:szCs w:val="18"/>
                  <w:color w:val="0000FF"/>
                </w:rPr>
                <w:t>Certification of Principal Financial Officer pursuant to Exchange Act Rules 13a-14(a) and 15d-14(a).</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r>
      <w:tr>
        <w:trPr>
          <w:trHeight w:val="412"/>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32.1 ††</w:t>
            </w: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89">
              <w:r>
                <w:rPr>
                  <w:rFonts w:ascii="Times New Roman" w:cs="Times New Roman" w:eastAsia="Times New Roman" w:hAnsi="Times New Roman"/>
                  <w:sz w:val="18"/>
                  <w:szCs w:val="18"/>
                  <w:color w:val="0000FF"/>
                </w:rPr>
                <w:t>Certification of Principal Executive Officer pursuant to 18 U.S.C. 1350.</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480" w:type="dxa"/>
            <w:vAlign w:val="bottom"/>
            <w:tcBorders>
              <w:left w:val="single" w:sz="8" w:color="0000FF"/>
            </w:tcBorders>
            <w:gridSpan w:val="5"/>
          </w:tcPr>
          <w:p>
            <w:pPr>
              <w:spacing w:after="0" w:line="20" w:lineRule="exact"/>
              <w:rPr>
                <w:sz w:val="1"/>
                <w:szCs w:val="1"/>
                <w:color w:val="auto"/>
              </w:rPr>
            </w:pPr>
          </w:p>
        </w:tc>
      </w:tr>
      <w:tr>
        <w:trPr>
          <w:trHeight w:val="412"/>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32.2 ††</w:t>
            </w:r>
          </w:p>
        </w:tc>
        <w:tc>
          <w:tcPr>
            <w:tcW w:w="1006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190">
              <w:r>
                <w:rPr>
                  <w:rFonts w:ascii="Times New Roman" w:cs="Times New Roman" w:eastAsia="Times New Roman" w:hAnsi="Times New Roman"/>
                  <w:sz w:val="18"/>
                  <w:szCs w:val="18"/>
                  <w:color w:val="0000FF"/>
                </w:rPr>
                <w:t>Certification of Principal Financial Officer pursuant to 18 U.S.C. 1350.</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r>
      <w:tr>
        <w:trPr>
          <w:trHeight w:val="453"/>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 INS†</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XBRL Instance Document</w:t>
            </w:r>
          </w:p>
        </w:tc>
      </w:tr>
      <w:tr>
        <w:trPr>
          <w:trHeight w:val="432"/>
        </w:trPr>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432"/>
        </w:trPr>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432"/>
        </w:trPr>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432"/>
        </w:trPr>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432"/>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67"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340" w:right="20" w:hanging="332"/>
        <w:spacing w:after="0" w:line="282" w:lineRule="auto"/>
        <w:tabs>
          <w:tab w:leader="none" w:pos="1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54" w:lineRule="exact"/>
        <w:rPr>
          <w:sz w:val="20"/>
          <w:szCs w:val="20"/>
          <w:color w:val="auto"/>
        </w:rPr>
      </w:pPr>
    </w:p>
    <w:p>
      <w:pPr>
        <w:ind w:left="340" w:right="180" w:hanging="332"/>
        <w:spacing w:after="0" w:line="282" w:lineRule="auto"/>
        <w:tabs>
          <w:tab w:leader="none" w:pos="2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A copy of any omitted schedule will be furnished supplementally to the SEC upon request.</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plan or arrangement.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60"/>
          </w:cols>
          <w:pgMar w:left="240" w:top="108" w:right="29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51"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PAA GP LLC,</w:t>
      </w:r>
    </w:p>
    <w:p>
      <w:pPr>
        <w:spacing w:after="0" w:line="6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362"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Plains AAP, L.P.,</w:t>
      </w:r>
    </w:p>
    <w:p>
      <w:pPr>
        <w:spacing w:after="0" w:line="6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its sole member</w:t>
      </w:r>
    </w:p>
    <w:p>
      <w:pPr>
        <w:spacing w:after="0" w:line="362"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PLAINS ALL AMERICAN GP LLC,</w:t>
      </w:r>
    </w:p>
    <w:p>
      <w:pPr>
        <w:spacing w:after="0" w:line="6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362"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Greg L. Armstrong,</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Plains All American GP LLC</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2018</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Al Swanson,</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p>
      <w:pPr>
        <w:spacing w:after="0" w:line="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2018</w:t>
      </w:r>
    </w:p>
    <w:p>
      <w:pPr>
        <w:spacing w:after="0" w:line="360"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Chris Herbold,</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Vice President—Accounting and Chief Accounting Officer of Plains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All American GP LLC</w:t>
      </w:r>
    </w:p>
    <w:p>
      <w:pPr>
        <w:spacing w:after="0" w:line="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2018</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60"/>
          </w:cols>
          <w:pgMar w:left="240" w:top="121" w:right="29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600" w:type="dxa"/>
            <w:vAlign w:val="bottom"/>
            <w:gridSpan w:val="2"/>
          </w:tcPr>
          <w:p>
            <w:pPr>
              <w:ind w:left="3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73"/>
        </w:trPr>
        <w:tc>
          <w:tcPr>
            <w:tcW w:w="2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0"/>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Greg L. Armstrong</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 of PAA GP Holdings LLC and Chief Executive</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45"/>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Officer of Plains All American GP LLC (Principal Executive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Greg L. Armstrong</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9"/>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Harry N. Pefanis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 and President and Chief Commercial Officer of</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45"/>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Harry N. Pefanis</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9"/>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Willie Chiang</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 and Executive Vice President and Chief Operating</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45"/>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Officer of Plains All American GP LLC</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Willie Chiang</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6"/>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Al Swanson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Plains All American GP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45"/>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Al Swanson</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9"/>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 Herbold</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President—Accounting and Chief Accounting Officer of Plains All</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45"/>
        </w:trPr>
        <w:tc>
          <w:tcPr>
            <w:tcW w:w="2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American GP LLC (Principal Accounting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Chris Herbold</w:t>
            </w:r>
          </w:p>
        </w:tc>
        <w:tc>
          <w:tcPr>
            <w:tcW w:w="120" w:type="dxa"/>
            <w:vAlign w:val="bottom"/>
            <w:vMerge w:val="continue"/>
          </w:tcPr>
          <w:p>
            <w:pPr>
              <w:spacing w:after="0"/>
              <w:rPr>
                <w:sz w:val="14"/>
                <w:szCs w:val="14"/>
                <w:color w:val="auto"/>
              </w:rPr>
            </w:pPr>
          </w:p>
        </w:tc>
        <w:tc>
          <w:tcPr>
            <w:tcW w:w="6600" w:type="dxa"/>
            <w:vAlign w:val="bottom"/>
            <w:gridSpan w:val="2"/>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Oscar K. Brown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Oscar K. Brown</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Victor Burk</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Victor Burk</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Everardo Goyanes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Everardo Goyanes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Gary R. Petersen</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Gary R. Petersen</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John T. Raymond</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T. Raymond</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Bobby S. Shackouls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Bobby S. Shackouls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Robert V. Sinnott</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V. Sinnott</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 Taft Symonds</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 Taft Symonds</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Christopher M. Temple</w:t>
            </w:r>
          </w:p>
        </w:tc>
        <w:tc>
          <w:tcPr>
            <w:tcW w:w="120" w:type="dxa"/>
            <w:vAlign w:val="bottom"/>
          </w:tcPr>
          <w:p>
            <w:pPr>
              <w:spacing w:after="0"/>
              <w:rPr>
                <w:sz w:val="24"/>
                <w:szCs w:val="24"/>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PAA GP Holdings LLC</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2018</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M. Temple</w:t>
            </w:r>
          </w:p>
        </w:tc>
        <w:tc>
          <w:tcPr>
            <w:tcW w:w="1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420"/>
          </w:cols>
          <w:pgMar w:left="240" w:top="121" w:right="239" w:bottom="1440" w:gutter="0" w:footer="0" w:header="0"/>
          <w:type w:val="continuous"/>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04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900" w:type="dxa"/>
            <w:vAlign w:val="bottom"/>
          </w:tcPr>
          <w:p>
            <w:pPr>
              <w:spacing w:after="0"/>
              <w:rPr>
                <w:sz w:val="19"/>
                <w:szCs w:val="19"/>
                <w:color w:val="auto"/>
              </w:rPr>
            </w:pPr>
          </w:p>
        </w:tc>
      </w:tr>
      <w:tr>
        <w:trPr>
          <w:trHeight w:val="243"/>
        </w:trPr>
        <w:tc>
          <w:tcPr>
            <w:tcW w:w="4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Management’s Report on Internal Control Over Financial Reporting</w:t>
              </w:r>
            </w:hyperlink>
          </w:p>
        </w:tc>
        <w:tc>
          <w:tcPr>
            <w:tcW w:w="5580" w:type="dxa"/>
            <w:vAlign w:val="bottom"/>
            <w:gridSpan w:val="6"/>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F-2</w:t>
              </w:r>
            </w:hyperlink>
          </w:p>
        </w:tc>
      </w:tr>
      <w:tr>
        <w:trPr>
          <w:trHeight w:val="250"/>
        </w:trPr>
        <w:tc>
          <w:tcPr>
            <w:tcW w:w="42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Report of Independent Registered Public Accounting Firm</w:t>
              </w:r>
            </w:hyperlink>
          </w:p>
        </w:tc>
        <w:tc>
          <w:tcPr>
            <w:tcW w:w="6260" w:type="dxa"/>
            <w:vAlign w:val="bottom"/>
            <w:gridSpan w:val="10"/>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F-3</w:t>
              </w:r>
            </w:hyperlink>
          </w:p>
        </w:tc>
      </w:tr>
      <w:tr>
        <w:trPr>
          <w:trHeight w:val="250"/>
        </w:trPr>
        <w:tc>
          <w:tcPr>
            <w:tcW w:w="10480" w:type="dxa"/>
            <w:vAlign w:val="bottom"/>
            <w:gridSpan w:val="32"/>
          </w:tcPr>
          <w:p>
            <w:pPr>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Consolidated Balance Sheets as of December 31, 2017 and 2016</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F-4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2"/>
          </w:tcPr>
          <w:p>
            <w:pPr>
              <w:spacing w:after="0"/>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Consolidated Statements of Operations for the years ended December 31, 2017, 2016 and 2015</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F-5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77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Consolidated Statements of Comprehensive Income for the years ended December 31, 2017, 2016 and 2015</w:t>
              </w:r>
            </w:hyperlink>
          </w:p>
        </w:tc>
        <w:tc>
          <w:tcPr>
            <w:tcW w:w="2700" w:type="dxa"/>
            <w:vAlign w:val="bottom"/>
            <w:gridSpan w:val="3"/>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F-6</w:t>
              </w:r>
            </w:hyperlink>
          </w:p>
        </w:tc>
      </w:tr>
      <w:tr>
        <w:trPr>
          <w:trHeight w:val="250"/>
        </w:trPr>
        <w:tc>
          <w:tcPr>
            <w:tcW w:w="10480" w:type="dxa"/>
            <w:vAlign w:val="bottom"/>
            <w:gridSpan w:val="32"/>
          </w:tcPr>
          <w:p>
            <w:pPr>
              <w:spacing w:after="0"/>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Consolidated Statements of Changes in Accumulated Other Comprehensive Income/(Loss) for the years ended December 31, 2017, 2016 and</w:t>
              </w:r>
            </w:hyperlink>
          </w:p>
        </w:tc>
        <w:tc>
          <w:tcPr>
            <w:tcW w:w="900" w:type="dxa"/>
            <w:vAlign w:val="bottom"/>
          </w:tcPr>
          <w:p>
            <w:pPr>
              <w:spacing w:after="0"/>
              <w:rPr>
                <w:sz w:val="21"/>
                <w:szCs w:val="21"/>
                <w:color w:val="auto"/>
              </w:rPr>
            </w:pPr>
          </w:p>
        </w:tc>
      </w:tr>
      <w:tr>
        <w:trPr>
          <w:trHeight w:val="196"/>
        </w:trPr>
        <w:tc>
          <w:tcPr>
            <w:tcW w:w="520" w:type="dxa"/>
            <w:vAlign w:val="bottom"/>
            <w:tcBorders>
              <w:top w:val="single" w:sz="8" w:color="0000EE"/>
            </w:tcBorders>
            <w:gridSpan w:val="5"/>
          </w:tcPr>
          <w:p>
            <w:pPr>
              <w:ind w:left="160"/>
              <w:spacing w:after="0" w:line="196" w:lineRule="exact"/>
              <w:rPr>
                <w:rFonts w:ascii="Times New Roman" w:cs="Times New Roman" w:eastAsia="Times New Roman" w:hAnsi="Times New Roman"/>
                <w:sz w:val="18"/>
                <w:szCs w:val="18"/>
                <w:color w:val="0000EE"/>
                <w:w w:val="94"/>
              </w:rPr>
            </w:pPr>
            <w:hyperlink w:anchor="page126">
              <w:r>
                <w:rPr>
                  <w:rFonts w:ascii="Times New Roman" w:cs="Times New Roman" w:eastAsia="Times New Roman" w:hAnsi="Times New Roman"/>
                  <w:sz w:val="18"/>
                  <w:szCs w:val="18"/>
                  <w:color w:val="0000EE"/>
                  <w:w w:val="94"/>
                </w:rPr>
                <w:t>2015</w:t>
              </w:r>
            </w:hyperlink>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F-6</w:t>
              </w:r>
            </w:hyperlink>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2"/>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Consolidated Statements of Cash Flows for the years ended December 31, 2017, 2016 and 2015</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F-7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32"/>
          </w:tcPr>
          <w:p>
            <w:pPr>
              <w:spacing w:after="0"/>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Consolidated Statements of Changes in Partners’ Capital for the years ended December 31, 2017, 2016 and 2015</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F-8</w:t>
              </w:r>
            </w:hyperlink>
          </w:p>
        </w:tc>
      </w:tr>
      <w:tr>
        <w:trPr>
          <w:trHeight w:val="250"/>
        </w:trPr>
        <w:tc>
          <w:tcPr>
            <w:tcW w:w="346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30">
              <w:r>
                <w:rPr>
                  <w:rFonts w:ascii="Times New Roman" w:cs="Times New Roman" w:eastAsia="Times New Roman" w:hAnsi="Times New Roman"/>
                  <w:sz w:val="18"/>
                  <w:szCs w:val="18"/>
                  <w:color w:val="0000EE"/>
                  <w:w w:val="99"/>
                </w:rPr>
                <w:t>Notes to the Consolidated Financial Statements:</w:t>
              </w:r>
            </w:hyperlink>
          </w:p>
        </w:tc>
        <w:tc>
          <w:tcPr>
            <w:tcW w:w="4660" w:type="dxa"/>
            <w:vAlign w:val="bottom"/>
            <w:tcBorders>
              <w:top w:val="single" w:sz="8" w:color="0000EE"/>
            </w:tcBorders>
            <w:gridSpan w:val="12"/>
          </w:tcPr>
          <w:p>
            <w:pPr>
              <w:spacing w:after="0"/>
              <w:rPr>
                <w:sz w:val="21"/>
                <w:szCs w:val="21"/>
                <w:color w:val="auto"/>
              </w:rPr>
            </w:pPr>
          </w:p>
        </w:tc>
        <w:tc>
          <w:tcPr>
            <w:tcW w:w="2360" w:type="dxa"/>
            <w:vAlign w:val="bottom"/>
            <w:gridSpan w:val="2"/>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F-9</w:t>
              </w:r>
            </w:hyperlink>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30">
              <w:r>
                <w:rPr>
                  <w:rFonts w:ascii="Times New Roman" w:cs="Times New Roman" w:eastAsia="Times New Roman" w:hAnsi="Times New Roman"/>
                  <w:sz w:val="18"/>
                  <w:szCs w:val="18"/>
                  <w:color w:val="0000EE"/>
                  <w:w w:val="88"/>
                </w:rPr>
                <w:t>1.</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Organization and Basis of Consolidation and Presentation</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F-9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32">
              <w:r>
                <w:rPr>
                  <w:rFonts w:ascii="Times New Roman" w:cs="Times New Roman" w:eastAsia="Times New Roman" w:hAnsi="Times New Roman"/>
                  <w:sz w:val="18"/>
                  <w:szCs w:val="18"/>
                  <w:color w:val="0000EE"/>
                  <w:w w:val="88"/>
                </w:rPr>
                <w:t>2.</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Summary of Significant Accounting Policies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F-11</w:t>
              </w:r>
            </w:hyperlink>
          </w:p>
        </w:tc>
      </w:tr>
      <w:tr>
        <w:trPr>
          <w:trHeight w:val="250"/>
        </w:trPr>
        <w:tc>
          <w:tcPr>
            <w:tcW w:w="140" w:type="dxa"/>
            <w:vAlign w:val="bottom"/>
          </w:tcPr>
          <w:p>
            <w:pPr>
              <w:spacing w:after="0"/>
              <w:rPr>
                <w:sz w:val="21"/>
                <w:szCs w:val="21"/>
                <w:color w:val="auto"/>
              </w:rPr>
            </w:pPr>
          </w:p>
        </w:tc>
        <w:tc>
          <w:tcPr>
            <w:tcW w:w="23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137">
              <w:r>
                <w:rPr>
                  <w:rFonts w:ascii="Times New Roman" w:cs="Times New Roman" w:eastAsia="Times New Roman" w:hAnsi="Times New Roman"/>
                  <w:sz w:val="18"/>
                  <w:szCs w:val="18"/>
                  <w:color w:val="0000EE"/>
                  <w:w w:val="98"/>
                </w:rPr>
                <w:t>3. Net Income Per Common Unit</w:t>
              </w:r>
            </w:hyperlink>
          </w:p>
        </w:tc>
        <w:tc>
          <w:tcPr>
            <w:tcW w:w="1020" w:type="dxa"/>
            <w:vAlign w:val="bottom"/>
            <w:tcBorders>
              <w:top w:val="single" w:sz="8" w:color="0000EE"/>
            </w:tcBorders>
            <w:gridSpan w:val="6"/>
          </w:tcPr>
          <w:p>
            <w:pPr>
              <w:spacing w:after="0"/>
              <w:rPr>
                <w:sz w:val="21"/>
                <w:szCs w:val="21"/>
                <w:color w:val="auto"/>
              </w:rPr>
            </w:pPr>
          </w:p>
        </w:tc>
        <w:tc>
          <w:tcPr>
            <w:tcW w:w="6940" w:type="dxa"/>
            <w:vAlign w:val="bottom"/>
            <w:gridSpan w:val="13"/>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F-16</w:t>
              </w:r>
            </w:hyperlink>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39">
              <w:r>
                <w:rPr>
                  <w:rFonts w:ascii="Times New Roman" w:cs="Times New Roman" w:eastAsia="Times New Roman" w:hAnsi="Times New Roman"/>
                  <w:sz w:val="18"/>
                  <w:szCs w:val="18"/>
                  <w:color w:val="0000EE"/>
                  <w:w w:val="88"/>
                </w:rPr>
                <w:t>4.</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Inventory, Linefill and Base Gas and Long-term Inventory</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F-18</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40">
              <w:r>
                <w:rPr>
                  <w:rFonts w:ascii="Times New Roman" w:cs="Times New Roman" w:eastAsia="Times New Roman" w:hAnsi="Times New Roman"/>
                  <w:sz w:val="18"/>
                  <w:szCs w:val="18"/>
                  <w:color w:val="0000EE"/>
                  <w:w w:val="88"/>
                </w:rPr>
                <w:t>5.</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Property and Equipment</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F-19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42">
              <w:r>
                <w:rPr>
                  <w:rFonts w:ascii="Times New Roman" w:cs="Times New Roman" w:eastAsia="Times New Roman" w:hAnsi="Times New Roman"/>
                  <w:sz w:val="18"/>
                  <w:szCs w:val="18"/>
                  <w:color w:val="0000EE"/>
                  <w:w w:val="88"/>
                </w:rPr>
                <w:t>6.</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Acquisitions and Dispositions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F-19</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45">
              <w:r>
                <w:rPr>
                  <w:rFonts w:ascii="Times New Roman" w:cs="Times New Roman" w:eastAsia="Times New Roman" w:hAnsi="Times New Roman"/>
                  <w:sz w:val="18"/>
                  <w:szCs w:val="18"/>
                  <w:color w:val="0000EE"/>
                  <w:w w:val="88"/>
                </w:rPr>
                <w:t>7.</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Goodwill</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F-24</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46">
              <w:r>
                <w:rPr>
                  <w:rFonts w:ascii="Times New Roman" w:cs="Times New Roman" w:eastAsia="Times New Roman" w:hAnsi="Times New Roman"/>
                  <w:sz w:val="18"/>
                  <w:szCs w:val="18"/>
                  <w:color w:val="0000EE"/>
                  <w:w w:val="88"/>
                </w:rPr>
                <w:t>8.</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Investments in Unconsolidated Entities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F-25</w:t>
              </w:r>
            </w:hyperlink>
          </w:p>
        </w:tc>
      </w:tr>
      <w:tr>
        <w:trPr>
          <w:trHeight w:val="20"/>
        </w:trPr>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280" w:type="dxa"/>
            <w:vAlign w:val="bottom"/>
            <w:gridSpan w:val="3"/>
          </w:tcPr>
          <w:p>
            <w:pPr>
              <w:ind w:left="140"/>
              <w:spacing w:after="0"/>
              <w:rPr>
                <w:rFonts w:ascii="Times New Roman" w:cs="Times New Roman" w:eastAsia="Times New Roman" w:hAnsi="Times New Roman"/>
                <w:sz w:val="18"/>
                <w:szCs w:val="18"/>
                <w:color w:val="0000EE"/>
                <w:w w:val="88"/>
              </w:rPr>
            </w:pPr>
            <w:hyperlink w:anchor="page148">
              <w:r>
                <w:rPr>
                  <w:rFonts w:ascii="Times New Roman" w:cs="Times New Roman" w:eastAsia="Times New Roman" w:hAnsi="Times New Roman"/>
                  <w:sz w:val="18"/>
                  <w:szCs w:val="18"/>
                  <w:color w:val="0000EE"/>
                  <w:w w:val="88"/>
                </w:rPr>
                <w:t>9.</w:t>
              </w:r>
            </w:hyperlink>
          </w:p>
        </w:tc>
        <w:tc>
          <w:tcPr>
            <w:tcW w:w="10200" w:type="dxa"/>
            <w:vAlign w:val="bottom"/>
            <w:gridSpan w:val="29"/>
          </w:tcPr>
          <w:p>
            <w:pPr>
              <w:ind w:left="40"/>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Other Long-Term Assets, Net</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F-27</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49">
              <w:r>
                <w:rPr>
                  <w:rFonts w:ascii="Times New Roman" w:cs="Times New Roman" w:eastAsia="Times New Roman" w:hAnsi="Times New Roman"/>
                  <w:sz w:val="18"/>
                  <w:szCs w:val="18"/>
                  <w:color w:val="0000EE"/>
                  <w:w w:val="97"/>
                </w:rPr>
                <w:t>10.</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Debt</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F-28</w:t>
              </w:r>
            </w:hyperlink>
          </w:p>
        </w:tc>
      </w:tr>
      <w:tr>
        <w:trPr>
          <w:trHeight w:val="20"/>
        </w:trPr>
        <w:tc>
          <w:tcPr>
            <w:tcW w:w="140" w:type="dxa"/>
            <w:vAlign w:val="bottom"/>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153">
              <w:r>
                <w:rPr>
                  <w:rFonts w:ascii="Times New Roman" w:cs="Times New Roman" w:eastAsia="Times New Roman" w:hAnsi="Times New Roman"/>
                  <w:sz w:val="18"/>
                  <w:szCs w:val="18"/>
                  <w:color w:val="0000EE"/>
                  <w:w w:val="98"/>
                </w:rPr>
                <w:t>11. Partners’ Capital and Distributions</w:t>
              </w:r>
            </w:hyperlink>
          </w:p>
        </w:tc>
        <w:tc>
          <w:tcPr>
            <w:tcW w:w="7580" w:type="dxa"/>
            <w:vAlign w:val="bottom"/>
            <w:gridSpan w:val="17"/>
          </w:tcPr>
          <w:p>
            <w:pPr>
              <w:spacing w:after="0"/>
              <w:rPr>
                <w:sz w:val="21"/>
                <w:szCs w:val="21"/>
                <w:color w:val="auto"/>
              </w:rPr>
            </w:pPr>
          </w:p>
        </w:tc>
        <w:tc>
          <w:tcPr>
            <w:tcW w:w="900" w:type="dxa"/>
            <w:vAlign w:val="bottom"/>
          </w:tcPr>
          <w:p>
            <w:pPr>
              <w:jc w:val="right"/>
              <w:spacing w:after="0"/>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F-32</w:t>
              </w:r>
            </w:hyperlink>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12.</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Derivatives and Risk Management Activities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F-36</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65">
              <w:r>
                <w:rPr>
                  <w:rFonts w:ascii="Times New Roman" w:cs="Times New Roman" w:eastAsia="Times New Roman" w:hAnsi="Times New Roman"/>
                  <w:sz w:val="18"/>
                  <w:szCs w:val="18"/>
                  <w:color w:val="0000EE"/>
                  <w:w w:val="97"/>
                </w:rPr>
                <w:t>13.</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Income Taxes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65">
              <w:r>
                <w:rPr>
                  <w:rFonts w:ascii="Times New Roman" w:cs="Times New Roman" w:eastAsia="Times New Roman" w:hAnsi="Times New Roman"/>
                  <w:sz w:val="18"/>
                  <w:szCs w:val="18"/>
                  <w:color w:val="0000EE"/>
                </w:rPr>
                <w:t>F-44</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67">
              <w:r>
                <w:rPr>
                  <w:rFonts w:ascii="Times New Roman" w:cs="Times New Roman" w:eastAsia="Times New Roman" w:hAnsi="Times New Roman"/>
                  <w:sz w:val="18"/>
                  <w:szCs w:val="18"/>
                  <w:color w:val="0000EE"/>
                  <w:w w:val="97"/>
                </w:rPr>
                <w:t>14.</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Major Customers and Concentration of Credit Risk</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F-46</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68">
              <w:r>
                <w:rPr>
                  <w:rFonts w:ascii="Times New Roman" w:cs="Times New Roman" w:eastAsia="Times New Roman" w:hAnsi="Times New Roman"/>
                  <w:sz w:val="18"/>
                  <w:szCs w:val="18"/>
                  <w:color w:val="0000EE"/>
                  <w:w w:val="97"/>
                </w:rPr>
                <w:t>15.</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Related Party Transactions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F-47</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70">
              <w:r>
                <w:rPr>
                  <w:rFonts w:ascii="Times New Roman" w:cs="Times New Roman" w:eastAsia="Times New Roman" w:hAnsi="Times New Roman"/>
                  <w:sz w:val="18"/>
                  <w:szCs w:val="18"/>
                  <w:color w:val="0000EE"/>
                  <w:w w:val="97"/>
                </w:rPr>
                <w:t>16.</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Equity-Indexed Compensation Plans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F-49</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72">
              <w:r>
                <w:rPr>
                  <w:rFonts w:ascii="Times New Roman" w:cs="Times New Roman" w:eastAsia="Times New Roman" w:hAnsi="Times New Roman"/>
                  <w:sz w:val="18"/>
                  <w:szCs w:val="18"/>
                  <w:color w:val="0000EE"/>
                  <w:w w:val="97"/>
                </w:rPr>
                <w:t>17.</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Commitments and Contingencies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F-51</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78">
              <w:r>
                <w:rPr>
                  <w:rFonts w:ascii="Times New Roman" w:cs="Times New Roman" w:eastAsia="Times New Roman" w:hAnsi="Times New Roman"/>
                  <w:sz w:val="18"/>
                  <w:szCs w:val="18"/>
                  <w:color w:val="0000EE"/>
                  <w:w w:val="97"/>
                </w:rPr>
                <w:t>18.</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Quarterly Financial Data (Unaudited)</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F-57</w:t>
              </w:r>
            </w:hyperlink>
          </w:p>
        </w:tc>
      </w:tr>
      <w:tr>
        <w:trPr>
          <w:trHeight w:val="20"/>
        </w:trPr>
        <w:tc>
          <w:tcPr>
            <w:tcW w:w="1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380" w:type="dxa"/>
            <w:vAlign w:val="bottom"/>
            <w:gridSpan w:val="4"/>
          </w:tcPr>
          <w:p>
            <w:pPr>
              <w:ind w:left="140"/>
              <w:spacing w:after="0"/>
              <w:rPr>
                <w:rFonts w:ascii="Times New Roman" w:cs="Times New Roman" w:eastAsia="Times New Roman" w:hAnsi="Times New Roman"/>
                <w:sz w:val="18"/>
                <w:szCs w:val="18"/>
                <w:color w:val="0000EE"/>
                <w:w w:val="97"/>
              </w:rPr>
            </w:pPr>
            <w:hyperlink w:anchor="page178">
              <w:r>
                <w:rPr>
                  <w:rFonts w:ascii="Times New Roman" w:cs="Times New Roman" w:eastAsia="Times New Roman" w:hAnsi="Times New Roman"/>
                  <w:sz w:val="18"/>
                  <w:szCs w:val="18"/>
                  <w:color w:val="0000EE"/>
                  <w:w w:val="97"/>
                </w:rPr>
                <w:t>19.</w:t>
              </w:r>
            </w:hyperlink>
          </w:p>
        </w:tc>
        <w:tc>
          <w:tcPr>
            <w:tcW w:w="10100" w:type="dxa"/>
            <w:vAlign w:val="bottom"/>
            <w:gridSpan w:val="28"/>
          </w:tcPr>
          <w:p>
            <w:pPr>
              <w:ind w:left="20"/>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Operating Segments</w:t>
              </w:r>
            </w:hyperlink>
          </w:p>
        </w:tc>
        <w:tc>
          <w:tcPr>
            <w:tcW w:w="900" w:type="dxa"/>
            <w:vAlign w:val="bottom"/>
          </w:tcPr>
          <w:p>
            <w:pPr>
              <w:jc w:val="right"/>
              <w:spacing w:after="0"/>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F-57</w:t>
              </w:r>
            </w:hyperlink>
          </w:p>
        </w:tc>
      </w:tr>
      <w:tr>
        <w:trPr>
          <w:trHeight w:val="723"/>
        </w:trPr>
        <w:tc>
          <w:tcPr>
            <w:tcW w:w="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F-1</w:t>
            </w: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4"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2017.</w:t>
      </w:r>
    </w:p>
    <w:p>
      <w:pPr>
        <w:spacing w:after="0" w:line="158" w:lineRule="exact"/>
        <w:rPr>
          <w:sz w:val="20"/>
          <w:szCs w:val="20"/>
          <w:color w:val="auto"/>
        </w:rPr>
      </w:pPr>
    </w:p>
    <w:p>
      <w:pPr>
        <w:jc w:val="both"/>
        <w:ind w:right="1780" w:firstLine="648"/>
        <w:spacing w:after="0" w:line="313" w:lineRule="auto"/>
        <w:rPr>
          <w:sz w:val="20"/>
          <w:szCs w:val="20"/>
          <w:color w:val="auto"/>
        </w:rPr>
      </w:pPr>
      <w:r>
        <w:rPr>
          <w:rFonts w:ascii="Times New Roman" w:cs="Times New Roman" w:eastAsia="Times New Roman" w:hAnsi="Times New Roman"/>
          <w:sz w:val="17"/>
          <w:szCs w:val="17"/>
          <w:color w:val="auto"/>
        </w:rPr>
        <w:t>The effectiveness of the Partnership’s internal control over financial reporting as of December 31, 2017 has been audited by PricewaterhouseCoopers LLP, an independent registered public accounting firm, as stated in their report which appears on Page F-3.</w:t>
      </w:r>
    </w:p>
    <w:p>
      <w:pPr>
        <w:spacing w:after="0" w:line="3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Greg L. Armstrong</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Chief Executive Officer of Plains All American GP LLC</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Al Swanson</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 Plains All</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American GP LLC</w:t>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2018</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60"/>
          </w:cols>
          <w:pgMar w:left="240" w:top="121" w:right="29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i w:val="1"/>
          <w:i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of PAA GP Holdings LLC and Unitholders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Pipeline, L.P.: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Plains All American Pipeline, L.P. and its subsidiaries as of December 31, 2017 and 2016, and the related consolidated statements of operations, of comprehensive income, of changes in accumulated other comprehensive income/(loss), of changes in partners' capital, and of cash flows for each of the three years in the period ended December 31, 2017, including the related notes (collectively referred to as the “consolidated financial statements”). We also have audited the Partnership's internal control over financial reporting as of December 31, 2017, based on criteria established in </w:t>
      </w:r>
      <w:r>
        <w:rPr>
          <w:rFonts w:ascii="Times New Roman" w:cs="Times New Roman" w:eastAsia="Times New Roman" w:hAnsi="Times New Roman"/>
          <w:sz w:val="17"/>
          <w:szCs w:val="17"/>
          <w:i w:val="1"/>
          <w:iCs w:val="1"/>
          <w:color w:val="auto"/>
        </w:rPr>
        <w:t xml:space="preserve">Internal Control - Integrated Framework </w:t>
      </w:r>
      <w:r>
        <w:rPr>
          <w:rFonts w:ascii="Times New Roman" w:cs="Times New Roman" w:eastAsia="Times New Roman" w:hAnsi="Times New Roman"/>
          <w:sz w:val="17"/>
          <w:szCs w:val="17"/>
          <w:color w:val="auto"/>
        </w:rPr>
        <w:t>(2013) issued by the Committee of Sponsoring Organizations of the Treadway Commission (COSO).</w:t>
      </w:r>
    </w:p>
    <w:p>
      <w:pPr>
        <w:spacing w:after="0" w:line="7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Partnership as of December 31, 2017 and 2016</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the results of their operations and their cash flows for each of the three years in the period ended December 31, 2017 in conformity with accounting principles generally accepted in the United States of America. Also in our opinion, the Partnership maintained, in all material respects, effective internal control over financial reporting as of December 31, 2017,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Houston, Texas</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26, 2018</w:t>
      </w: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Partnership’s auditor since 1998.</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00"/>
          </w:cols>
          <w:pgMar w:left="240" w:top="121" w:right="25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84"/>
        </w:trPr>
        <w:tc>
          <w:tcPr>
            <w:tcW w:w="8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4,272</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16,220</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13,872</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2,343</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Linefill and base gas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inventory</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97"/>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24,210</w:t>
            </w:r>
          </w:p>
        </w:tc>
      </w:tr>
      <w:tr>
        <w:trPr>
          <w:trHeight w:val="271"/>
        </w:trPr>
        <w:tc>
          <w:tcPr>
            <w:tcW w:w="8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4,664</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9,874</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debt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10,730</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A preferred unitholders (69,696,542 and 64,388,853 units outstanding, respectively)</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B preferred unitholders (800,000 units outstanding)</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unitholders (725,189,138 and 669,194,419 units outstanding, respectively)</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7,251</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partners’ capital excluding noncontrolling interests</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8,759</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8,816</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24,210</w:t>
            </w: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121" w:right="239" w:bottom="1022"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21,927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 segment revenues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23,152</w:t>
            </w: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19,726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19,188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21,890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 of capitalized interest of $35, $47 and $57, respectively)</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91"/>
        </w:trPr>
        <w:tc>
          <w:tcPr>
            <w:tcW w:w="7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1"/>
        </w:trPr>
        <w:tc>
          <w:tcPr>
            <w:tcW w:w="7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906</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COMMON UNIT (NOTE 3):</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allocated to common unitholders — 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r>
      <w:tr>
        <w:trPr>
          <w:trHeight w:val="30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r>
      <w:tr>
        <w:trPr>
          <w:trHeight w:val="284"/>
        </w:trPr>
        <w:tc>
          <w:tcPr>
            <w:tcW w:w="744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allocated to common unitholders —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w:t>
            </w:r>
          </w:p>
        </w:tc>
      </w:tr>
      <w:tr>
        <w:trPr>
          <w:trHeight w:val="26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906</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gain on cash flow hedges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2015 Activity</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loss on cash flow hedges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Equity-indexed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 valuation adjustments (Note 4)</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expense/(benefit)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terminated interest rate hedging instruments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Preferred Distribution Rate Reset Option (Note 12)</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from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accounts receivable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1,358</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 (Note 6)</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 in unconsolidated entities (Note 8)</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Additions to property, equipment and 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sales of assets (Note 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24"/>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Return of investment from unconsolidated entities (Note 8)</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received from sales of linefill and base gas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for purchases of linefill and base gas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217"/>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borrowings/(repayments) under commercial paper program (Note 10)</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631</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borrowings under senior secured hedged inventory facility (Note 10)</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 under AAP senior secured revolving credit facility (Note 10)</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 of AAP term loan (Note 10)</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senior notes (Note 10)</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of senior notes (Note 10)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proceeds from the sale of Series A preferred units (Note 11)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proceeds from the sale of Series B preferred units (Note 11)</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proceeds from the sale of common units (Note 11)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1,099</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Contributions from general partner</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paid to common unitholders (Note 11)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paid to general partner (Note 11)</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7"/>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800</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translation adjustment on cash</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increase/(decrease) in cash and cash equivalents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0"/>
        </w:trPr>
        <w:tc>
          <w:tcPr>
            <w:tcW w:w="7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for:</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r>
    </w:tbl>
    <w:p>
      <w:pPr>
        <w:sectPr>
          <w:pgSz w:w="11900" w:h="16838" w:orient="portrait"/>
          <w:cols w:equalWidth="0" w:num="1">
            <w:col w:w="11420"/>
          </w:cols>
          <w:pgMar w:left="240" w:top="121" w:right="239" w:bottom="0" w:gutter="0" w:footer="0" w:header="0"/>
        </w:sectPr>
      </w:pPr>
    </w:p>
    <w:bookmarkStart w:id="127" w:name="page128"/>
    <w:bookmarkEnd w:id="127"/>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121"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9019"/>
          </w:cols>
          <w:pgMar w:left="1440" w:top="121" w:right="1440" w:bottom="1440" w:gutter="0" w:footer="0" w:header="0"/>
          <w:type w:val="continuous"/>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460" w:right="2460"/>
        <w:spacing w:after="0" w:line="26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CONSOLIDATED STATEMENTS OF CHANGES IN PARTNERS’ CAPITAL (in millions)</w:t>
      </w:r>
    </w:p>
    <w:p>
      <w:pPr>
        <w:spacing w:after="0" w:line="398" w:lineRule="exact"/>
        <w:rPr>
          <w:sz w:val="20"/>
          <w:szCs w:val="20"/>
          <w:color w:val="auto"/>
        </w:rPr>
      </w:pPr>
    </w:p>
    <w:tbl>
      <w:tblPr>
        <w:tblLayout w:type="fixed"/>
        <w:tblInd w:w="288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00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1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20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4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ind w:left="380"/>
              <w:spacing w:after="0" w:line="131" w:lineRule="exact"/>
              <w:rPr>
                <w:sz w:val="20"/>
                <w:szCs w:val="20"/>
                <w:color w:val="auto"/>
              </w:rPr>
            </w:pPr>
            <w:r>
              <w:rPr>
                <w:rFonts w:ascii="Times New Roman" w:cs="Times New Roman" w:eastAsia="Times New Roman" w:hAnsi="Times New Roman"/>
                <w:sz w:val="14"/>
                <w:szCs w:val="14"/>
                <w:b w:val="1"/>
                <w:bCs w:val="1"/>
                <w:color w:val="auto"/>
              </w:rPr>
              <w:t>General</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60" w:type="dxa"/>
            <w:vAlign w:val="bottom"/>
          </w:tcPr>
          <w:p>
            <w:pPr>
              <w:jc w:val="center"/>
              <w:ind w:left="208"/>
              <w:spacing w:after="0" w:line="131"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90"/>
        </w:trPr>
        <w:tc>
          <w:tcPr>
            <w:tcW w:w="96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7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2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Balance at December 31, 2014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7"/>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(Note 11)</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common units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2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Balance at December 31, 2015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7"/>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(Note 11)</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Series A preferred units</w:t>
            </w:r>
          </w:p>
        </w:tc>
        <w:tc>
          <w:tcPr>
            <w:tcW w:w="32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common units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Simplification Transactions (Note 1)</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2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Balance at December 31, 2016</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27"/>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(Note 11)</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Series B preferred units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common units</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52"/>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interest in Advantage</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4"/>
        </w:trPr>
        <w:tc>
          <w:tcPr>
            <w:tcW w:w="2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Joint Venture (Note 6)</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52"/>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interest in SLC Pipeline LLC</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4"/>
        </w:trPr>
        <w:tc>
          <w:tcPr>
            <w:tcW w:w="2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 6)</w:t>
            </w:r>
          </w:p>
        </w:tc>
        <w:tc>
          <w:tcPr>
            <w:tcW w:w="3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r>
      <w:tr>
        <w:trPr>
          <w:trHeight w:val="27"/>
        </w:trPr>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28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Balance at December 31, 2017</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7,793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8,191</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r>
      <w:tr>
        <w:trPr>
          <w:trHeight w:val="270"/>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(1,081)</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1,099</w:t>
            </w:r>
          </w:p>
        </w:tc>
        <w:tc>
          <w:tcPr>
            <w:tcW w:w="3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w:t>
            </w:r>
          </w:p>
        </w:tc>
      </w:tr>
      <w:tr>
        <w:trPr>
          <w:trHeight w:val="270"/>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7,580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7,939</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r>
      <w:tr>
        <w:trPr>
          <w:trHeight w:val="270"/>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(1,062)</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(471)</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7,251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8,816</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845</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r>
      <w:tr>
        <w:trPr>
          <w:trHeight w:val="270"/>
        </w:trPr>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(1,386)</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1,664</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r>
      <w:tr>
        <w:trPr>
          <w:trHeight w:val="486"/>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486"/>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70"/>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8,665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10,958</w:t>
            </w:r>
          </w:p>
        </w:tc>
      </w:tr>
      <w:tr>
        <w:trPr>
          <w:trHeight w:val="27"/>
        </w:trPr>
        <w:tc>
          <w:tcPr>
            <w:tcW w:w="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-4699000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-4356100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-4012565</wp:posOffset>
            </wp:positionV>
            <wp:extent cx="7246620" cy="4013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1">
                      <a:extLst>
                        <a:ext uri="{28A0092B-C50C-407E-A947-70E740481C1C}"/>
                      </a:extLst>
                    </a:blip>
                    <a:srcRect/>
                    <a:stretch>
                      <a:fillRect/>
                    </a:stretch>
                  </pic:blipFill>
                  <pic:spPr bwMode="auto">
                    <a:xfrm>
                      <a:off x="0" y="0"/>
                      <a:ext cx="7246620" cy="401320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-4895850</wp:posOffset>
            </wp:positionV>
            <wp:extent cx="6515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300" w:space="340"/>
            <w:col w:w="5780"/>
          </w:cols>
          <w:pgMar w:left="240" w:top="12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121" w:right="239" w:bottom="1440" w:gutter="0" w:footer="0" w:header="0"/>
          <w:type w:val="continuous"/>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19 for further discussion of our operating segments.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2017, AAP also owned a limited partner interest in us through its ownership of approximately 284.0 million of our common units (approximately 36% of our total outstanding common units and Series A preferred units combined). Plains All American GP LLC (“GP LLC”), a Delaware limited liability company, is AAP’s general partner. Plains GP Holdings, L.P. (“PAGP”) is the sole and managing member of GP LLC, and, at December 31, 2017, owned an approximate 55% limited partner interest in AAP. PAA GP Holdings LLC (“PAGP GP”) is the general partner of PAGP.</w:t>
      </w:r>
    </w:p>
    <w:p>
      <w:pPr>
        <w:spacing w:after="0" w:line="18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(“PMC”).</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Simplification Transactions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November 15, 2016, the Plains Entities closed a series of transactions and executed several organizational and ancillary documents (the “Simplification Transactions”) intended to simplify our capital structure, better align the interests of our stakeholders and improve our overall credit profile. The Simplification Transactions included, among other things:</w:t>
      </w:r>
    </w:p>
    <w:p>
      <w:pPr>
        <w:spacing w:after="0" w:line="176" w:lineRule="exact"/>
        <w:rPr>
          <w:sz w:val="20"/>
          <w:szCs w:val="20"/>
          <w:color w:val="auto"/>
        </w:rPr>
      </w:pPr>
    </w:p>
    <w:p>
      <w:pPr>
        <w:jc w:val="both"/>
        <w:ind w:left="660" w:right="20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elimination of our incentive distribution rights (“IDRs”) and the economic rights associated with our 2% general partner interest in exchange for the issuance by us to AAP of 245.5 million PAA common units (including approximately 0.8 million units to be issued in the future) and the assumption by us of all of AAP’s outstanding debt ($642 million);</w:t>
      </w:r>
    </w:p>
    <w:p>
      <w:pPr>
        <w:spacing w:after="0" w:line="176"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annual PAGP shareholder elections beginning in 2018 for the purpose of electing certain directors, and the participation of our common unitholders and Series A preferred unitholders in such elections through our ownership of Class C shares in PAGP, which provide us, as the sole holder of such Class C shares, the right to vote in elections of eligible PAGP directors together with the holders of PAGP Class A and Class B shares;</w:t>
      </w:r>
    </w:p>
    <w:p>
      <w:pPr>
        <w:spacing w:after="0" w:line="180"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AAP of a reverse split to adjust the number of AAP Class A units (“AAP units”) such that the number of outstanding AAP units (assuming the conversion of AAP Class B units (the “AAP Management Units”) into AAP units) equaled the number of our common units received by AAP at the closing of the Simplification Transactions. Simultaneously, PAGP executed reverse splits to adjust the number of (i) PAGP Class A shares outstanding to equal the number of AAP units it owned following AAP’s reverse unit split and (ii) PAGP Class B shares outstanding to equal the number of AAP units owned by AAP’s unitholders other than PAGP following AAP’s reverse unit split.</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80"/>
          </w:cols>
          <w:pgMar w:left="240" w:top="121" w:right="27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660" w:right="120"/>
        <w:spacing w:after="0" w:line="308" w:lineRule="auto"/>
        <w:rPr>
          <w:sz w:val="20"/>
          <w:szCs w:val="20"/>
          <w:color w:val="auto"/>
        </w:rPr>
      </w:pPr>
      <w:r>
        <w:rPr>
          <w:rFonts w:ascii="Times New Roman" w:cs="Times New Roman" w:eastAsia="Times New Roman" w:hAnsi="Times New Roman"/>
          <w:sz w:val="18"/>
          <w:szCs w:val="18"/>
          <w:color w:val="auto"/>
        </w:rPr>
        <w:t>These reverse splits, along with the Omnibus Agreement, resulted in economic alignment between our common unitholders and PAGP’s Class A shareholders, such that the number of outstanding PAGP Class A shares equals the number of AAP units owned by PAGP, which in turn equals the number of our common units held by AAP that are attributable to PAGP’s interest in AAP. The Plains Entities also entered into an Omnibus Agreement, pursuant to which such one-to-one relationship will be maintained subsequent to the closing of the Simplification Transactions; and</w:t>
      </w:r>
    </w:p>
    <w:p>
      <w:pPr>
        <w:spacing w:after="0" w:line="153" w:lineRule="exact"/>
        <w:rPr>
          <w:sz w:val="20"/>
          <w:szCs w:val="20"/>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right for certain holders of the AAP units to cause AAP to redeem such AAP units in exchange for an equal number of our common units held by 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Simplification Transactions were between and among consolidated subsidiaries of PAGP that are considered entities under common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equity transactions did not result in a change in the carrying value of the underlying assets and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are used in the following notes and shall have the meanings indicated below:</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DERs</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equivalent rights</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IPO</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public offering</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MLP</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Master limited partnership</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Oxy</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Occidental Petroleum Corporation or its subsidiaries</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PLA</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Pipeline loss allowance</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and related notes present and discuss our consolidated financial position as of December 31, 2017 and 2016, and the consolidated results of our operations, cash flows, changes in partners’ capital, comprehensive income and changes in accumulated other comprehensive income/(loss) for the years ended December 31, 2017, 2016 and 2015. All significant intercompany transactions have been eliminated in consolidation, and certain reclassifications have been made to information from previous years to conform to the current presentation. These reclassifications do not affect net income attributable to PAA. 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1360"/>
          </w:cols>
          <w:pgMar w:left="240" w:top="121" w:right="299" w:bottom="1440" w:gutter="0" w:footer="0" w:header="0"/>
          <w:type w:val="continuous"/>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 (iii) fair value of derivatives, (iv) accruals and contingent liabilities, (v) equity-indexed compensation plan accruals, (vi) property and equipment, depreciation and amortization expense, asset retirement obligations and impairments, (vii) allowance for doubtful accounts and (viii) inventory valuations. Although we believe these estimates are reasonable, actual results could differ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Supply and Logistics Segment Revenues. </w:t>
      </w:r>
      <w:r>
        <w:rPr>
          <w:rFonts w:ascii="Times New Roman" w:cs="Times New Roman" w:eastAsia="Times New Roman" w:hAnsi="Times New Roman"/>
          <w:sz w:val="18"/>
          <w:szCs w:val="18"/>
          <w:color w:val="auto"/>
        </w:rPr>
        <w:t>Revenues from sales of crude oil, NGL and natural gas are recognized at the time title to the product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Transportation Segment Revenues. </w:t>
      </w:r>
      <w:r>
        <w:rPr>
          <w:rFonts w:ascii="Times New Roman" w:cs="Times New Roman" w:eastAsia="Times New Roman" w:hAnsi="Times New Roman"/>
          <w:sz w:val="18"/>
          <w:szCs w:val="18"/>
          <w:color w:val="auto"/>
        </w:rPr>
        <w:t>Our Transportation segment operations generally consist of fee-based activities associated with transporting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and NGL on pipelines, gathering systems and trucks. Revenues from pipeline tariffs and fees are associated with the transportation of crude oil and NGL at a published tariff, as well as revenues associated with agreements for committed space on various assets. Tariff revenues are recognized when the service is provided pursuant to specifications outlined in the tariffs. Revenues associated with fees are recognized in the month to which the fee applies. As is common in the pipeline transportation industry, our tariffs incorporate a loss allowance factor that is intended to offset losses due to evaporation, measurement and other losses in transit. We value the allowance volumes and actual losses at the estimated net realizable value (including the impact of gains and losses from derivative related activities) in the month of occurrence.</w:t>
      </w:r>
    </w:p>
    <w:p>
      <w:pPr>
        <w:spacing w:after="0" w:line="183" w:lineRule="exact"/>
        <w:rPr>
          <w:sz w:val="20"/>
          <w:szCs w:val="20"/>
          <w:color w:val="auto"/>
        </w:rPr>
      </w:pPr>
    </w:p>
    <w:p>
      <w:pPr>
        <w:ind w:right="240" w:firstLine="70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Facilities Segment Revenues. </w:t>
      </w:r>
      <w:r>
        <w:rPr>
          <w:rFonts w:ascii="Times New Roman" w:cs="Times New Roman" w:eastAsia="Times New Roman" w:hAnsi="Times New Roman"/>
          <w:sz w:val="18"/>
          <w:szCs w:val="18"/>
          <w:color w:val="auto"/>
        </w:rPr>
        <w:t>Our Facilities segment operations generally consist of fee-based activities associated with providing storage,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w:t>
      </w:r>
    </w:p>
    <w:p>
      <w:pPr>
        <w:spacing w:after="0" w:line="2" w:lineRule="exact"/>
        <w:rPr>
          <w:sz w:val="20"/>
          <w:szCs w:val="20"/>
          <w:color w:val="auto"/>
        </w:rPr>
      </w:pPr>
    </w:p>
    <w:p>
      <w:pPr>
        <w:ind w:right="200" w:firstLine="8"/>
        <w:spacing w:after="0" w:line="261" w:lineRule="auto"/>
        <w:tabs>
          <w:tab w:leader="none" w:pos="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from NGL fractionation and isomerization, (iv) fees from natural gas and condensate processing services, (v) fees associated with natural gas park and loan activities, interruptible storage services and wheeling and balancing services and (vi) loading and unloading fees at our rail terminals.</w:t>
      </w:r>
    </w:p>
    <w:p>
      <w:pPr>
        <w:spacing w:after="0" w:line="180" w:lineRule="exact"/>
        <w:rPr>
          <w:sz w:val="20"/>
          <w:szCs w:val="20"/>
          <w:color w:val="auto"/>
        </w:rPr>
      </w:pPr>
    </w:p>
    <w:p>
      <w:pPr>
        <w:ind w:right="180" w:firstLine="702"/>
        <w:spacing w:after="0" w:line="258" w:lineRule="auto"/>
        <w:rPr>
          <w:sz w:val="20"/>
          <w:szCs w:val="20"/>
          <w:color w:val="auto"/>
        </w:rPr>
      </w:pPr>
      <w:r>
        <w:rPr>
          <w:rFonts w:ascii="Times New Roman" w:cs="Times New Roman" w:eastAsia="Times New Roman" w:hAnsi="Times New Roman"/>
          <w:sz w:val="18"/>
          <w:szCs w:val="18"/>
          <w:color w:val="auto"/>
        </w:rPr>
        <w:t>We generate revenue through a combination of month-to-month and multi-year agreements. Storage fees resulting from short-term and long-term contracts are typically recognized in revenue ratably over the term of the contract regardless of the actual storage capacity utilized. Terminal fees (including throughput and rail fees) are recognized as the liquids enter or exit the terminal and are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121" w:right="25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deliver, transport or throughput a minimum volume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At December 31, 2017 and 2016, counterparty deficiencies associated with agreements that include minimum volume commitments totaled $57 million and $66 million, respectively, of which $37 million and $54 million, respectively, was recorded as deferred revenue. The remaining balance of $20 million and $12 million at each respective date was related to deficiencies for which the counterparties had not met their contractual minimum commitments and were not reflected in our Consolidated Financial Statements as we had not yet billed or collected such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and Related Costs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Purchases and related costs include (i) the cost of crude oil, NGL and natural gas obtained in outright purchases, (ii) fees incurred for storage and transportation, whether by pipeline, truck, rail, ship or barge and (iii) performance-related bonus costs. These costs are recognized when incurred except in the case of products purchased, which are recognized at the time title transfers to us. Purchases that are part of inventory exchanges under buy/sell transactions are netted with the related sales, with any margin presented in “Purchases and related costs” in our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Field Operating Costs and General and Administrative Expenses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Transactions/Translation</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gain of $21 million for the year ended December 31, 2017, a net loss of $8 million for the year ended December 31, 2016 and a net gain of $21 million for the year ended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our policy, outstanding checks are classified as accounts payable rather than negative cash. As of December 31, 2017 and 2016, accounts payable included $60 million and $66 million, respectively, of outstanding checks that were reclassified from cash and cash equivalents.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Prices for crude oil, natural gas and NGLs can fluctuate widely. For example, NYMEX West Texas Intermediate oil prices have been volatile and ranged from a high of $107.26 per barrel in June 2014 to a low of $26.21 per barrel in February 2016. Although prices recovered somewhat in 2017 to close the year at $60.42 per barrel, the sustained decrease in commodity prices since late 2014 has caused liquidity and leverage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December 31, 2017 and 2016, we had received $117 million and $89 million, respectively, of advance cash payments from third parties to mitigate credit risk. We also received $54 million and $66 million as of December 31, 2017 and 2016,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2017 and 2016, substantially all of our trade accounts receivable (net of allowance for doubtful accounts) were less than 30 days past their scheduled invoice date. Our allowance for doubtful accounts receivable totaled $3 million at both December 31, 2017 and 2016. Although we consider our allowance for doubtful accounts receivable to be adequate, actual amounts could vary significantly from estimated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Following our sale of SLC Pipeline LLC in the fourth quarter of 2017, we no longer have any noncontrolling interests in consolidated subsidiaries. See Note 11 for additional discussion regarding our noncontrolling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$103 million and $44 million, respectively, at December 31, 2017 and 2016 and were primarily reflected in “Other long-term liabilities and deferred credits” on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12 for further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See the respective footnotes for our accounting policies regarding (i) net income per common unit, (ii) inventory, linefill and base gas and long-term inventory, (iii) property and equipment, (iv) acquisitions, (v) goodwill, (vi) investments in unconsolidated entities, (vii) other long-term assets, net, (viii) income allocation for partners’ capital presentation purposes,(ix) derivatives and risk management activities, (x) income taxes, (xi) equity-indexed compensation and (xii) legal and environmental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2017, the FASB issued ASU 2017-12, </w:t>
      </w:r>
      <w:r>
        <w:rPr>
          <w:rFonts w:ascii="Times New Roman" w:cs="Times New Roman" w:eastAsia="Times New Roman" w:hAnsi="Times New Roman"/>
          <w:sz w:val="18"/>
          <w:szCs w:val="18"/>
          <w:i w:val="1"/>
          <w:iCs w:val="1"/>
          <w:color w:val="auto"/>
        </w:rPr>
        <w:t>Derivatives and Hedging (Topic 815): Targeted Improvements to Accounting for Hedging Activities</w:t>
      </w:r>
      <w:r>
        <w:rPr>
          <w:rFonts w:ascii="Times New Roman" w:cs="Times New Roman" w:eastAsia="Times New Roman" w:hAnsi="Times New Roman"/>
          <w:sz w:val="18"/>
          <w:szCs w:val="18"/>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expect to adopt this ASU on January 1, 2019 and are currently evaluating the impact of the adoption on our financial position, results of operations and cash flows.</w:t>
      </w:r>
    </w:p>
    <w:p>
      <w:pPr>
        <w:spacing w:after="0" w:line="10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Compensation—Stock Compensation (Topic 718): Scope of Modification Accounting</w:t>
      </w:r>
      <w:r>
        <w:rPr>
          <w:rFonts w:ascii="Times New Roman" w:cs="Times New Roman" w:eastAsia="Times New Roman" w:hAnsi="Times New Roman"/>
          <w:sz w:val="18"/>
          <w:szCs w:val="18"/>
          <w:color w:val="auto"/>
        </w:rPr>
        <w:t xml:space="preserve"> to provide guidance about which changes to the terms or conditions of a share-based payment award require an entity to apply modification accounting. Under the new guidance, modification accounting is required only if the fair value (or calculated value or intrinsic value, if such alternative method is used), the vesting conditions, or the classification of the award (equity or liability) changes as a result of the change in terms or conditions. This guidance is effective for interim and annual periods beginning after December 15, 2017, with early adoption permitted, and prospective application required. We adopted this ASU on January 1, 2018. Our adoption did not have a material impact on our financial position, results of operations or cash flows.</w:t>
      </w:r>
    </w:p>
    <w:p>
      <w:pPr>
        <w:spacing w:after="0" w:line="10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2017, the FASB issued ASU 2017-05, </w:t>
      </w:r>
      <w:r>
        <w:rPr>
          <w:rFonts w:ascii="Times New Roman" w:cs="Times New Roman" w:eastAsia="Times New Roman" w:hAnsi="Times New Roman"/>
          <w:sz w:val="18"/>
          <w:szCs w:val="18"/>
          <w:i w:val="1"/>
          <w:iCs w:val="1"/>
          <w:color w:val="auto"/>
        </w:rPr>
        <w:t>Other Income—Gains and Losses from the Derecognition of Nonfinancial Assets (Subtopic 610-20): Clarifying the Scope of Asset Derecognition Guidance and Accounting for Partial Sales of Nonfinancial Assets</w:t>
      </w:r>
      <w:r>
        <w:rPr>
          <w:rFonts w:ascii="Times New Roman" w:cs="Times New Roman" w:eastAsia="Times New Roman" w:hAnsi="Times New Roman"/>
          <w:sz w:val="18"/>
          <w:szCs w:val="18"/>
          <w:color w:val="auto"/>
        </w:rPr>
        <w:t>. The ASU clarifies what type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nonfinancial assets are covered by the ASU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We adopted this ASU on January 1, 2018, using the modified retrospective approach. The cumulative effect of our adoption resulted in increases in both the carrying value of investments in unconsolidated entities and retained earnings of approximately $110 million related to the retained non-controlling interest in those entities from partial sales of businesses accounted for under in-substance real estate guidance during 2016 and 2017. See Note 8 for discussion of our investments in unconsolidated entities.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The amendments within this ASU eliminate Step 2 from the goodwill impairment test, which currently requires an entity to determine goodwill impairment by calculating the implied fair value of goodwill by hypothetically assigning the fair value of a reporting unit to all of its assets and liabilities as if that reporting unit had been acquired in a business combination. Under the amended standard, goodwill impairment will instead be measured using Step 1 of the goodwill impairment test with goodwill impairment being equal to the amount by which a reporting unit’s carrying value exceeds its fair value, not to exceed the carrying value of goodwill. This guidance is effective for interim and annual periods beginning after December 15, 2019, with early adoption permitted. We early adopted this ASU in the first quarter of 2017 and applied the amended standard to our 2017 annual goodwill impairment test.</w:t>
      </w:r>
    </w:p>
    <w:p>
      <w:pPr>
        <w:spacing w:after="0" w:line="183"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which improves the guidance for determining whether a transaction involves the purchase or disposal of a business or an asset. This guidance is effective for interim and annual periods beginning after December 15, 2017, with early adoption permitted, and prospective application required. We adopted this ASU on January 1, 2018 and will apply the new guidance to applicable transactions occurring after that date.</w:t>
      </w:r>
    </w:p>
    <w:p>
      <w:pPr>
        <w:spacing w:after="0" w:line="18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 (a consensus of the FASB 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 Task Force)</w:t>
      </w:r>
      <w:r>
        <w:rPr>
          <w:rFonts w:ascii="Times New Roman" w:cs="Times New Roman" w:eastAsia="Times New Roman" w:hAnsi="Times New Roman"/>
          <w:sz w:val="18"/>
          <w:szCs w:val="18"/>
          <w:color w:val="auto"/>
        </w:rPr>
        <w:t>, requiring that a statement of cash flows explain the change in total cash, cash equivalents, and amounts generally described as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31, 2017. We adopted this ASU on January 1, 2018. Our adoption did not have a material impact on our statement of cash flows.</w:t>
      </w:r>
    </w:p>
    <w:p>
      <w:pPr>
        <w:spacing w:after="0" w:line="183"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to improve the accounting for the income tax consequences of intra-entity transfers of assets other than inventory. This guidance is effective for interim and annual periods beginning after December 15, 2017, with early adoption permitted in the first interim period of an annual reporting period. We adopted this ASU on January 1, 2018. Our adoption did not have a material impact on our financial position, results of operations or cash flows.</w:t>
      </w:r>
    </w:p>
    <w:p>
      <w:pPr>
        <w:spacing w:after="0" w:line="180"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2016-17, </w:t>
      </w:r>
      <w:r>
        <w:rPr>
          <w:rFonts w:ascii="Times New Roman" w:cs="Times New Roman" w:eastAsia="Times New Roman" w:hAnsi="Times New Roman"/>
          <w:sz w:val="18"/>
          <w:szCs w:val="18"/>
          <w:i w:val="1"/>
          <w:iCs w:val="1"/>
          <w:color w:val="auto"/>
        </w:rPr>
        <w:t>Consolidation (Topic 810): Interests Held through Related Parties That Are under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changing how a reporting entity that is the single decision maker of a variable interest entity (“VIE”) should treat indirect interests in the entity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related parties that are under common control with the reporting entity when determining whether it is the primary beneficiary of that VIE. This guidance was effective for interim and annual periods beginning after December 31, 2016. We adopted this ASU on January 1, 2017. Our adoption did not have a material impact on our financial position, results of operations or cash flows.</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This guidance will become effective for interim and annual periods beginning after December 15, 2019, with early adoption permitted by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We expect to adopt this ASU on January 1, 2020, and we are currently evaluating the effect that adopting this guidance will have on our financial position results of operations and cash flows.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simplified several aspects of the accounting for share-based payment transactions, including the income tax consequences, forfeitures,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as either equity or liabilities and classification of certain related payments on the statement of cash flows. This ASU is effective for interim and annual periods beginning after December 15, 2016, with early adoption permitted. We adopted the applicable provisions of the ASU on January 1, 2017 and (i) elected to account for forfeitures as they occur, utilizing the modified retrospective approach of adoption and (ii) classify cash paid for taxes when directly withholding units from an employee’s award for tax-withholding purposes as a financing activity on our Consolidated Statement of Cash Flows. Our adoption did not have a material impact on our financial position or results of operations for the periods presented. We reclassified approximately $7 million and $14 million, respectively, of cash outflows from operating activities to financing activities for the years ended December 31, 2016 and 2015 related to cash paid for minimum statutory withholding requirements for which we withheld units from employees’ awards.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ASU will become effective for interim and annual periods beginning after December 15, 2018, with a modified retrospective application required. Early adoption is permitted, including adoption in an interim period. We expect to adopt this ASU on January 1, 2019. We are currently evaluating the effect that adopting this ASU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xml:space="preserve"> which requires entities to measure inventory at the lower of cost and net realizable value; however, inventory measured using last-in, first-out and the retail inventory method is unchanged by this ASU. This guidance was effective for interim and annual periods beginning after December 15, 2016, with prospective application required. We adopted this ASU on January 1, 2017. Our adoption did not have a material impact on our financial position, results of operations or cash flows.</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those goods or services. Topic 606 also requires additional disclosures. Topic 606 can be adopted either with a full retrospective approach or a modified retrospective approach with a cumulative-effect adjustment as of the date of adoption and is effective for interim and annual periods beginning after December 15, 2017. We implemented a process to evaluate the impact of adopting Topic 606 on each type of revenue contract entered into with customers, and our implementation team effected changes to our business processes, systems and controls to support recognition and disclosure under the new standard. We did not identify any material revenue recognition timing differences under Topic 606 as compared to our policies in effect prior to adoption. In addition, we will have an increase in disclosures about the nature, amount, timing and uncertainty of revenue and the related cash flows. We adopted Topic 606 on January 1, 2018, and applied the modified retrospective approach. The cumulative effect of the adoption of Topic 606 was not 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Per Common Unit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After consideration of distributions to preferred unitholders (whether paid in cash or in-kind), basic and diluted net income per common unit is determined pursuant to the two-class method as prescribed in FASB guidance. This method is an earnings allocation formula that is used to determine allocations to our general partner (for periods prior to the Simplification Transactions), limited partners and participating securities according to distributions pertaining to the current period’s net income and participation rights in undistributed earnings or distributions in excess of earnings. Under the two-class method, net income is reduced by distributions pertaining to the period, and all remaining earnings or distributions in excess of earnings are then allocated to our general partner (for periods prior to the Simplification Transactions), common unitholders and participating securities based on their respective rights to share in distributions, regardless of whether those earnings would actually be distributed during a particular period from an economic or practical perspective. Participating securities include LTIP awards that have vested DERs, which entitle the grantee to a cash payment equal to the cash distribution paid on our outstanding common units.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Simplification Transactions, which closed on November 15, 2016, included the permanent elimination of our IDRs and the economic rights associated with our 2% general partner interest in exchange for the issuance by us to AAP of approximately 244.7 million common units and the assumption by us of AAP’s debt. In addition, we may issue to AAP up to 0.8 million common units in connection with certain AAP Management Units becoming earned in future periods. As such, beginning with the distribution pertaining to the fourth quarter of 2016, our general partner is no longer entitled to receive distributions on the IDRs or general partner interest. See Note 1 for additional discussion of the Simplification Transactions.</w:t>
      </w:r>
    </w:p>
    <w:p>
      <w:pPr>
        <w:spacing w:after="0" w:line="184"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calculate basic and diluted net income per common unit by dividing net income attributable to PAA (after deducting amounts allocated to the preferred unitholders and participating securities, and for periods prior to the closing of the Simplification Transactions, the 2% general partner’s interest and IDRs) by the basic and diluted weighted average number of common units outstanding during the period.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121" w:right="27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(ii) our LTIP awards and (iii) common units that are issuable to AAP when certain AAP Management Units become earned. See Note 11 for additional information regarding our Series A preferred units. See Note 16 for a complete discussion of our LTIP awards and the AAP Management Units. When applying the if-converted method prescribed by FASB guidance, the possible conversion of our Series A preferred units was excluded from the calculation of diluted net income per common unit for the years ended December 31, 2017 and 2016 as the effect was antidilutive. Our LTIP awards that contemplate the issuance of common units and certain AAP Management Units that contemplate the issuance of common units to AAP when such AAP Management Units become earned are considered dilutive unless</w:t>
      </w:r>
    </w:p>
    <w:p>
      <w:pPr>
        <w:spacing w:after="0" w:line="4" w:lineRule="exact"/>
        <w:rPr>
          <w:sz w:val="20"/>
          <w:szCs w:val="20"/>
          <w:color w:val="auto"/>
        </w:rPr>
      </w:pPr>
    </w:p>
    <w:p>
      <w:pPr>
        <w:ind w:right="40" w:firstLine="8"/>
        <w:spacing w:after="0" w:line="253" w:lineRule="auto"/>
        <w:tabs>
          <w:tab w:leader="none" w:pos="2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become vested or earned only upon the satisfaction of a performance condition and (ii) that performance condition has yet to be satisfied. LTIP awards that were deemed to be dilutive during the three years ended December 31, 2017 were reduced by a hypothetical common unit repurchase based on the remaining unamortized fair value, as prescribed by the treasury stock method in guidance issued by the FASB. As none of the necessary conditions for the remaining AAP Management Units to become earned had been satisfied by December 31, 2017, no common units issuable to AAP were contemplated in the calculation of diluted net income per common unit for any period presented.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unit (in millions, except per unit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780" w:type="dxa"/>
            <w:vAlign w:val="bottom"/>
          </w:tcPr>
          <w:p>
            <w:pPr>
              <w:spacing w:after="0"/>
              <w:rPr>
                <w:sz w:val="22"/>
                <w:szCs w:val="22"/>
                <w:color w:val="auto"/>
              </w:rPr>
            </w:pPr>
          </w:p>
        </w:tc>
        <w:tc>
          <w:tcPr>
            <w:tcW w:w="2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Net Income per Common Unit</w:t>
            </w:r>
          </w:p>
        </w:tc>
        <w:tc>
          <w:tcPr>
            <w:tcW w:w="19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9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1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43"/>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Undistributed loss allocated to general partner</w:t>
            </w:r>
          </w:p>
        </w:tc>
        <w:tc>
          <w:tcPr>
            <w:tcW w:w="1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78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 xml:space="preserve">Net income allocated to common unitholders </w:t>
            </w:r>
            <w:r>
              <w:rPr>
                <w:rFonts w:ascii="Times New Roman" w:cs="Times New Roman" w:eastAsia="Times New Roman" w:hAnsi="Times New Roman"/>
                <w:sz w:val="25"/>
                <w:szCs w:val="25"/>
                <w:color w:val="auto"/>
                <w:vertAlign w:val="superscript"/>
              </w:rPr>
              <w:t>(1)</w:t>
            </w:r>
          </w:p>
        </w:tc>
        <w:tc>
          <w:tcPr>
            <w:tcW w:w="29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7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Basic weighted average common units outstanding </w:t>
            </w:r>
            <w:r>
              <w:rPr>
                <w:rFonts w:ascii="Times New Roman" w:cs="Times New Roman" w:eastAsia="Times New Roman" w:hAnsi="Times New Roman"/>
                <w:sz w:val="25"/>
                <w:szCs w:val="25"/>
                <w:color w:val="auto"/>
                <w:vertAlign w:val="superscript"/>
              </w:rPr>
              <w:t>(2)</w:t>
            </w:r>
          </w:p>
        </w:tc>
        <w:tc>
          <w:tcPr>
            <w:tcW w:w="19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r>
      <w:tr>
        <w:trPr>
          <w:trHeight w:val="297"/>
        </w:trPr>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29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Net Income per Common Unit</w:t>
            </w:r>
          </w:p>
        </w:tc>
        <w:tc>
          <w:tcPr>
            <w:tcW w:w="1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9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1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43"/>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Undistributed loss allocated to general partner</w:t>
            </w:r>
          </w:p>
        </w:tc>
        <w:tc>
          <w:tcPr>
            <w:tcW w:w="19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78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 xml:space="preserve">Net income allocated to common unitholders </w:t>
            </w:r>
            <w:r>
              <w:rPr>
                <w:rFonts w:ascii="Times New Roman" w:cs="Times New Roman" w:eastAsia="Times New Roman" w:hAnsi="Times New Roman"/>
                <w:sz w:val="25"/>
                <w:szCs w:val="25"/>
                <w:color w:val="auto"/>
                <w:vertAlign w:val="superscript"/>
              </w:rPr>
              <w:t>(1)</w:t>
            </w:r>
          </w:p>
        </w:tc>
        <w:tc>
          <w:tcPr>
            <w:tcW w:w="29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7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Basic weighted average common units outstanding </w:t>
            </w:r>
            <w:r>
              <w:rPr>
                <w:rFonts w:ascii="Times New Roman" w:cs="Times New Roman" w:eastAsia="Times New Roman" w:hAnsi="Times New Roman"/>
                <w:sz w:val="25"/>
                <w:szCs w:val="25"/>
                <w:color w:val="auto"/>
                <w:vertAlign w:val="superscript"/>
              </w:rPr>
              <w:t>(2)</w:t>
            </w:r>
          </w:p>
        </w:tc>
        <w:tc>
          <w:tcPr>
            <w:tcW w:w="19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r>
      <w:tr>
        <w:trPr>
          <w:trHeight w:val="243"/>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LTIP units</w:t>
            </w:r>
          </w:p>
        </w:tc>
        <w:tc>
          <w:tcPr>
            <w:tcW w:w="19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4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96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396</w:t>
            </w:r>
          </w:p>
        </w:tc>
      </w:tr>
      <w:tr>
        <w:trPr>
          <w:trHeight w:val="284"/>
        </w:trPr>
        <w:tc>
          <w:tcPr>
            <w:tcW w:w="47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9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2940" w:type="dxa"/>
            <w:vAlign w:val="bottom"/>
            <w:gridSpan w:val="2"/>
          </w:tcPr>
          <w:p>
            <w:pPr>
              <w:jc w:val="right"/>
              <w:ind w:right="1840"/>
              <w:spacing w:after="0"/>
              <w:rPr>
                <w:sz w:val="20"/>
                <w:szCs w:val="20"/>
                <w:color w:val="auto"/>
              </w:rPr>
            </w:pPr>
            <w:r>
              <w:rPr>
                <w:rFonts w:ascii="Times New Roman" w:cs="Times New Roman" w:eastAsia="Times New Roman" w:hAnsi="Times New Roman"/>
                <w:sz w:val="18"/>
                <w:szCs w:val="18"/>
                <w:color w:val="auto"/>
              </w:rPr>
              <w:t>F-17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250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8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100" w:hanging="652"/>
        <w:spacing w:after="0" w:line="236" w:lineRule="auto"/>
        <w:tabs>
          <w:tab w:leader="none" w:pos="660" w:val="left"/>
        </w:tabs>
        <w:numPr>
          <w:ilvl w:val="0"/>
          <w:numId w:val="9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(“undistributed loss”), if any, are allocated to the general partner (for periods prior to the Simplification Transactions), common unitholders and participating securities in accordance with the contractual terms of our partnership agreement in effect for the period and as further prescribed under the two-class method.</w:t>
      </w:r>
    </w:p>
    <w:p>
      <w:pPr>
        <w:spacing w:after="0" w:line="91" w:lineRule="exact"/>
        <w:rPr>
          <w:rFonts w:ascii="Times New Roman" w:cs="Times New Roman" w:eastAsia="Times New Roman" w:hAnsi="Times New Roman"/>
          <w:sz w:val="25"/>
          <w:szCs w:val="25"/>
          <w:color w:val="auto"/>
          <w:vertAlign w:val="superscript"/>
        </w:rPr>
      </w:pPr>
    </w:p>
    <w:p>
      <w:pPr>
        <w:ind w:left="660" w:right="20" w:hanging="652"/>
        <w:spacing w:after="0" w:line="228" w:lineRule="auto"/>
        <w:tabs>
          <w:tab w:leader="none" w:pos="660" w:val="left"/>
        </w:tabs>
        <w:numPr>
          <w:ilvl w:val="0"/>
          <w:numId w:val="9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considered the common units issued in connection with the Simplification Transactions to be outstanding for the entire fourth quarter of 2016 in the calculation of weighted average common units outstanding to more closely reflect the ownership interests in us with rights to the distributions for the periods included in the calculation of net income allocated to common unitholders.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4—Inventory, Linefill and Base Gas and Long-term Inventory</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Inventory primarily consists of crude oil, NGL and natural gas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2017, 2016 and 2015, we recorded charges of $35 million, $3 million and $117 million, respectively, related to the writedown of our crude oil, NGL and natural gas inventory due to declines in prices. A portion of these inventory valuation adjustments was offset by the recognition of gains on derivative instruments being utilized to hedge future sales of our crude oil and NGL inventory. Such gains were recorded to “Supply and Logistics segment revenues” in our accompanying Consolidated Statement of Operations. See Note 12 for discussion of our derivative and risk management activities.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Linefill and base gas in assets we own are recorded at historical cost and consist of crude oil, NGL and natural gas. We classify as linefill or base gas</w:t>
      </w:r>
    </w:p>
    <w:p>
      <w:pPr>
        <w:spacing w:after="0" w:line="27" w:lineRule="exact"/>
        <w:rPr>
          <w:sz w:val="20"/>
          <w:szCs w:val="20"/>
          <w:color w:val="auto"/>
        </w:rPr>
      </w:pPr>
    </w:p>
    <w:p>
      <w:pPr>
        <w:ind w:right="180" w:firstLine="8"/>
        <w:spacing w:after="0" w:line="255" w:lineRule="auto"/>
        <w:tabs>
          <w:tab w:leader="none" w:pos="2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5 for further discussion regarding impairment of long-lived assets. During 2017, 2016 and 2015, we did not recognize any impairments of linefill and base gas.</w:t>
      </w:r>
    </w:p>
    <w:p>
      <w:pPr>
        <w:spacing w:after="0" w:line="18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Inventory, linefill and base gas and long-term inventory consisted of the following (barrels and natural gas volumes in thousands and carrying value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1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1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Pr>
          <w:p>
            <w:pPr>
              <w:spacing w:after="0"/>
              <w:rPr>
                <w:sz w:val="12"/>
                <w:szCs w:val="12"/>
                <w:color w:val="auto"/>
              </w:rPr>
            </w:pPr>
          </w:p>
        </w:tc>
        <w:tc>
          <w:tcPr>
            <w:tcW w:w="7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23,589</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NGL</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10,774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Linefill and base gas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12,340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NGL</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24,976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Linefill and base gas subtotal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NGL</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8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160" w:hanging="652"/>
        <w:spacing w:after="0" w:line="218" w:lineRule="auto"/>
        <w:tabs>
          <w:tab w:leader="none" w:pos="660" w:val="left"/>
        </w:tabs>
        <w:numPr>
          <w:ilvl w:val="0"/>
          <w:numId w:val="9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5—Property and Equipment</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2017, 2016 and 2015, capitalized interest recorded to property and equipment was $17 million, $34 million and $49 million, respectively. In addition, we capitalize interest related to investments in certain unconsolidated entities. See Note 8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is stated at cost and consisted of the following (in millions):</w:t>
      </w:r>
    </w:p>
    <w:p>
      <w:pPr>
        <w:spacing w:after="0" w:line="224"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6640" w:type="dxa"/>
            <w:vAlign w:val="bottom"/>
          </w:tcPr>
          <w:p>
            <w:pPr>
              <w:spacing w:after="0"/>
              <w:rPr>
                <w:sz w:val="4"/>
                <w:szCs w:val="4"/>
                <w:color w:val="auto"/>
              </w:rPr>
            </w:pPr>
          </w:p>
        </w:tc>
        <w:tc>
          <w:tcPr>
            <w:tcW w:w="1720" w:type="dxa"/>
            <w:vAlign w:val="bottom"/>
            <w:gridSpan w:val="2"/>
            <w:vMerge w:val="restart"/>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664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664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Pipelines and related facilities </w:t>
            </w:r>
            <w:r>
              <w:rPr>
                <w:rFonts w:ascii="Times New Roman" w:cs="Times New Roman" w:eastAsia="Times New Roman" w:hAnsi="Times New Roman"/>
                <w:sz w:val="25"/>
                <w:szCs w:val="25"/>
                <w:color w:val="auto"/>
                <w:vertAlign w:val="superscript"/>
              </w:rPr>
              <w:t>(1)</w:t>
            </w: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9,585</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9,025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Storage, terminal and rail facilities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30 - 70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5,305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Trucking equipment and other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property and equipment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2 - 50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other</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16,220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include rights-of-way, which are intangible assets, in our pipeline and related facilities amounts within property and equipment.</w:t>
      </w:r>
    </w:p>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calculate our depreciation using the straight-line method, based on estimated useful lives and salvage values of our assets. Depreciation expense for the years ended December 31, 2017, 2016 and 2015 was $463 million, $470 million and $380 million, respectively (including amounts related to the discontinuation of certain capital projects). We also classify gains and losses on sales of assets and asset impairments as a component of “Depreciation and amortization” in our Consolidated Statements of Operations. See Note 6 for a discussion of our disposition activities. See “Impairment of Long-Lived Assets” below for a discussion of our policy for the recognition of asset impairments.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68" w:lineRule="exact"/>
        <w:rPr>
          <w:sz w:val="20"/>
          <w:szCs w:val="20"/>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indication of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2017 and 2016, we recognized $152 million and $80 million, respectively, of non-cash charges related to the write-down of certain of our long-lived rail and other terminal assets included in our Facilities segment due to asset impairments and accelerated depreciation. Such charges are reflected in “Depreciation and amortization”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 result of our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recognize any impairments during the year ended December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6—Acquisitions and Dispositions</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following acquisitions, excluding acquired interests accounted for under the equity method of accounting mentioned specifically below, were accounted for using the acquisition method of accounting and the determination of the fair value of the assets and liabilities acquired has been estimated in accordance with the applicable accounting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Alpha Crude Connector Acquisition</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February 14, 2017, we acquired all of the issued and outstanding membership interests in Alpha Holding Company, LLC for cash consideration of approximately $1.215 billion, subject to working capital and other adjustments (the “ACC Acquisition”). The ACC Acquisition was initially funded through borrowings under our senior unsecured revolving credit facility. Such borrowings were subsequently repaid with proceeds from our March 2017 issuance of common units to AAP pursuant to the Omnibus Agreement and in connection with a PAGP underwritten equity offering. See Note 11 for additional information.</w:t>
      </w:r>
    </w:p>
    <w:p>
      <w:pPr>
        <w:spacing w:after="0" w:line="1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During 2017, we made additional interconnects to our existing Northern Delaware Basin systems as well as additional enhancements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fair value determination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60" w:type="dxa"/>
            <w:vAlign w:val="bottom"/>
          </w:tcPr>
          <w:p>
            <w:pPr>
              <w:spacing w:after="0"/>
              <w:rPr>
                <w:sz w:val="13"/>
                <w:szCs w:val="13"/>
                <w:color w:val="auto"/>
              </w:rPr>
            </w:pPr>
          </w:p>
        </w:tc>
        <w:tc>
          <w:tcPr>
            <w:tcW w:w="14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53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3 - 70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400" w:type="dxa"/>
            <w:vAlign w:val="bottom"/>
            <w:gridSpan w:val="3"/>
          </w:tcPr>
          <w:p>
            <w:pPr>
              <w:jc w:val="right"/>
              <w:ind w:right="619"/>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and liabilities, net (including $4 million of cash acquired)</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gridSpan w:val="4"/>
            <w:vMerge w:val="restart"/>
          </w:tcPr>
          <w:p>
            <w:pPr>
              <w:ind w:left="220"/>
              <w:spacing w:after="0"/>
              <w:rPr>
                <w:sz w:val="20"/>
                <w:szCs w:val="20"/>
                <w:color w:val="auto"/>
              </w:rPr>
            </w:pPr>
            <w:r>
              <w:rPr>
                <w:rFonts w:ascii="Times New Roman" w:cs="Times New Roman" w:eastAsia="Times New Roman" w:hAnsi="Times New Roman"/>
                <w:sz w:val="18"/>
                <w:szCs w:val="18"/>
                <w:color w:val="auto"/>
              </w:rPr>
              <w:t>F-21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45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2" w:name="page143"/>
    <w:bookmarkEnd w:id="1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Intangible assets are included in “Other long-term assets, net” on our Consolidated Balance Sheets. The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$10 million for the period from February 14, 2017 through December 31, 2017, and the future amortization expense is estimated as follows for the next five years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140" w:type="dxa"/>
            <w:vAlign w:val="bottom"/>
            <w:shd w:val="clear" w:color="auto" w:fill="CCEEFF"/>
          </w:tcPr>
          <w:p>
            <w:pPr>
              <w:jc w:val="right"/>
              <w:ind w:right="4670"/>
              <w:spacing w:after="0"/>
              <w:rPr>
                <w:sz w:val="20"/>
                <w:szCs w:val="20"/>
                <w:color w:val="auto"/>
              </w:rPr>
            </w:pPr>
            <w:r>
              <w:rPr>
                <w:rFonts w:ascii="Times New Roman" w:cs="Times New Roman" w:eastAsia="Times New Roman" w:hAnsi="Times New Roman"/>
                <w:sz w:val="18"/>
                <w:szCs w:val="18"/>
                <w:color w:val="auto"/>
                <w:w w:val="99"/>
              </w:rPr>
              <w:t>2018</w:t>
            </w:r>
          </w:p>
        </w:tc>
        <w:tc>
          <w:tcPr>
            <w:tcW w:w="5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14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w w:val="99"/>
              </w:rPr>
              <w:t>2019</w:t>
            </w:r>
          </w:p>
        </w:tc>
        <w:tc>
          <w:tcPr>
            <w:tcW w:w="5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5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jc w:val="right"/>
              <w:ind w:right="4670"/>
              <w:spacing w:after="0"/>
              <w:rPr>
                <w:sz w:val="20"/>
                <w:szCs w:val="20"/>
                <w:color w:val="auto"/>
              </w:rPr>
            </w:pPr>
            <w:r>
              <w:rPr>
                <w:rFonts w:ascii="Times New Roman" w:cs="Times New Roman" w:eastAsia="Times New Roman" w:hAnsi="Times New Roman"/>
                <w:sz w:val="18"/>
                <w:szCs w:val="18"/>
                <w:color w:val="auto"/>
                <w:w w:val="99"/>
              </w:rPr>
              <w:t>2020</w:t>
            </w:r>
          </w:p>
        </w:tc>
        <w:tc>
          <w:tcPr>
            <w:tcW w:w="54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14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w w:val="99"/>
              </w:rPr>
              <w:t>2021</w:t>
            </w:r>
          </w:p>
        </w:tc>
        <w:tc>
          <w:tcPr>
            <w:tcW w:w="5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5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140" w:type="dxa"/>
            <w:vAlign w:val="bottom"/>
            <w:shd w:val="clear" w:color="auto" w:fill="CCEEFF"/>
          </w:tcPr>
          <w:p>
            <w:pPr>
              <w:jc w:val="right"/>
              <w:ind w:right="4670"/>
              <w:spacing w:after="0"/>
              <w:rPr>
                <w:sz w:val="20"/>
                <w:szCs w:val="20"/>
                <w:color w:val="auto"/>
              </w:rPr>
            </w:pPr>
            <w:r>
              <w:rPr>
                <w:rFonts w:ascii="Times New Roman" w:cs="Times New Roman" w:eastAsia="Times New Roman" w:hAnsi="Times New Roman"/>
                <w:sz w:val="18"/>
                <w:szCs w:val="18"/>
                <w:color w:val="auto"/>
                <w:w w:val="99"/>
              </w:rPr>
              <w:t>2022</w:t>
            </w:r>
          </w:p>
        </w:tc>
        <w:tc>
          <w:tcPr>
            <w:tcW w:w="5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5140" w:type="dxa"/>
            <w:vAlign w:val="bottom"/>
            <w:shd w:val="clear" w:color="auto" w:fill="CCEEFF"/>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Goodwill is an intangible asset representing the future economic benefits expected to be derived from other assets acquired that are not individually identified and separately recognized. 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2017, we incurred approximately $6 million of acquisition-related costs associated with the ACC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costs are reflected as a component of general and administrative expenses in our Consolidated Statements of Operations.</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ACC Acquisition had occurred as of the beginning of the calendar year prior to the year of acquisition, as well as the revenues and earnings generated during the period since the acquisition date, were not material for disclosure purposes.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3, 2017, we and an affiliate of Noble Midstream Partners LP (“Noble”) completed the acquisition of Advantage Pipeline, L.L.C. (“Advantage”) through a newly formed 50/50 joint venture (the “Advantage Joint Venture”). We account for our interest in the Advantage Joint Venture under the equity method of accounting. See Note 8 for additional discussion of our equity method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2016, we completed two acquisitions for aggregate cash consideration of $289 million. These acquisitions included (i) an integrated system of NGL assets in Western Canada for cash consideration of approximately $204 million and (ii) the remaining interest in a Gulf Coast pipeline that was subsequently sold during the year. The assets acquired were primarily included in our Transportation and Facilities segments. We did not recognize any goodwill related to these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2015, we completed three acquisitions for aggregate cash consideration of $105 million. These acquisitions included (i) an additional approximate 28% interest in Frontier Aspen LLC, which is accounted for under the equity method of accounting, (ii) a crude oil terminal included in our Facilities segment and (iii) the remaining interest in a pipeline system included in our Transportation segment. We recognized goodwill of $11 million related to these acquisitions. See Note 8 for additional discussion of our equity method investments.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121" w:right="239" w:bottom="1440" w:gutter="0" w:footer="0" w:header="0"/>
        </w:sectPr>
      </w:pPr>
    </w:p>
    <w:bookmarkStart w:id="143" w:name="page144"/>
    <w:bookmarkEnd w:id="1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 and Divestitures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2017, we sold certain non-core assets for total proceeds of $1.1 billion, including:</w:t>
      </w:r>
    </w:p>
    <w:p>
      <w:pPr>
        <w:spacing w:after="0" w:line="225" w:lineRule="exact"/>
        <w:rPr>
          <w:sz w:val="20"/>
          <w:szCs w:val="20"/>
          <w:color w:val="auto"/>
        </w:rPr>
      </w:pPr>
    </w:p>
    <w:p>
      <w:pPr>
        <w:ind w:left="980" w:hanging="324"/>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Bay Area terminal assets located in California;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Bluewater natural gas storage facility located in Michigan;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non-core pipelines in the Rocky Mountain and Bakken regions, including our interest in SLC Pipeline LLC;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pipeline segments primarily located in the Midwestern United States; and</w:t>
      </w:r>
    </w:p>
    <w:p>
      <w:pPr>
        <w:spacing w:after="0" w:line="225"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97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undivided interest in a segment of our Red River Pipeline extending from Cushing, Oklahoma to the Hewitt Station near Ardmore, Oklahoma for our net book value.</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Bay Area terminal assets and the Bluewater natural gas storage facility were reported in our Facilities segment. The pipeline assets were reported in our Transportation segment. See Note 8 for additional discussion.</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aggregate, including non-cash impairments recognized upon reclassifications to assets held for sale, we recognized a net gain related to pending or completed asset sales of approximately $43 million for the year ended December 31, 2017, which is included in “Depreciation and amortization” on our Consolidated Statement of Operations. Such amount is comprised of gains of $123 million and losses of $80 million.</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2016, we sold several non-core assets, including certain of our Gulf Coast pipelines and East Coast refined products terminals. In addition, we sold interests in Cheyenne Pipeline LLC and STACK Pipeline LLC. See Note 8 for additional discussion. In the aggregate, we recognized a net gain of approximately $100 million related to these transactions, which is included in “Depreciation and amortization” on our Consolidated Statement of Operations. Such amount is comprised of gains of $158 million and losses of $58 million, including $15 million of impairment of goodwill that was included in a disposal group classified as held for sale prior to the closing of such transaction.</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2015, we sold various property and equipment and recognized a net loss of $2 million, which is included in “Depreciation and amortization” on our Consolidated Statement of Operations.</w:t>
      </w:r>
    </w:p>
    <w:p>
      <w:pPr>
        <w:spacing w:after="0" w:line="16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2017, we classified approximately $80 million of assets as held for sale on our Consolidated Balance Sheet (in “Other current assets”) primarily related to a definitive agreement to sell non-core property and equipment included in our Facilities segment. We expect the sale to be consummated in the first half of 2018, subject to customary closing conditions, as applicable. As of December 31, 2016, we classified approximately $275 million of assets as held for sale on our Consolidated Balance Sheet (in “Other current assets”) primarily related to a definitive agreement to sell non-core assets, which were property and equipment included in our Facilities segment.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7—Goodwill</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assets acquired in a business combination that are not individually identified and separately recognized.</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19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completed our goodwill impairment test as of June 30, 2017 using a qualitative assessment. We determined that it was more likely than not that the fair value of each reporting unit was greater than its respective book value; therefore, additional impairment testing was not necessary at that time and goodwill was not considered impaired. However, due to a deterioration in the performance of the Supply and Logistics reporting unit and a reduction in projected performance of that reporting unit, we performed a quantitative test for the Supply and Logistics reporting unit as of December 31, 2017.</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Through the quantitative test of the Supply and Logistics reporting unit’s goodwill for potential impairment, we determined that the fair value of that reporting unit was greater than its respective book value; therefore, goodwill was not considered impaired. However, a further deterioration in the performance of the Supply and Logistics reporting unit could result in an impairment of goodwill.</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did not perform a quantitative test for our other reporting units as of December 31, 2017 as there were no indicators of possible impairment. We did not recognize any impairments of goodwill during the last three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by segment and changes in goodwill is reflected in the following table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2,344</w:t>
            </w: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2,566</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8—Investments in Unconsolidated Entities</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investments in unconsolidated entities consisted of the following (in millions, except percentage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300" w:type="dxa"/>
            <w:vAlign w:val="bottom"/>
          </w:tcPr>
          <w:p>
            <w:pPr>
              <w:spacing w:after="0"/>
              <w:rPr>
                <w:sz w:val="13"/>
                <w:szCs w:val="13"/>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Entity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20" w:type="dxa"/>
            <w:vAlign w:val="bottom"/>
          </w:tcPr>
          <w:p>
            <w:pPr>
              <w:spacing w:after="0"/>
              <w:rPr>
                <w:sz w:val="10"/>
                <w:szCs w:val="10"/>
                <w:color w:val="auto"/>
              </w:rPr>
            </w:pPr>
          </w:p>
        </w:tc>
        <w:tc>
          <w:tcPr>
            <w:tcW w:w="12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Advantage Pipeline Holdings LLC (“Advantage Joint Venture”)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BridgeTex Pipeline Company, LLC (“BridgeTex”)</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Butte Pipe Line Company</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Caddo Pipeline LLC</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Cheyenne Pipeline LLC (“Cheyenne”)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Diamond Pipeline LLC (“Diamond”)</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Eagle Ford Pipeline LLC (“Eagle Ford Pipeline”)</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5"/>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Eagle Ford Terminals Corpus Christi LLC (“Eagle Ford</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Terminals”)</w:t>
            </w:r>
          </w:p>
        </w:tc>
        <w:tc>
          <w:tcPr>
            <w:tcW w:w="2520" w:type="dxa"/>
            <w:vAlign w:val="bottom"/>
          </w:tcPr>
          <w:p>
            <w:pPr>
              <w:jc w:val="center"/>
              <w:spacing w:after="0" w:line="262" w:lineRule="exact"/>
              <w:rPr>
                <w:sz w:val="20"/>
                <w:szCs w:val="20"/>
                <w:color w:val="auto"/>
              </w:rPr>
            </w:pPr>
            <w:r>
              <w:rPr>
                <w:rFonts w:ascii="Times New Roman" w:cs="Times New Roman" w:eastAsia="Times New Roman" w:hAnsi="Times New Roman"/>
                <w:sz w:val="18"/>
                <w:szCs w:val="18"/>
                <w:color w:val="auto"/>
                <w:w w:val="96"/>
              </w:rPr>
              <w:t xml:space="preserve">Crude Oil Terminal and Dock </w:t>
            </w:r>
            <w:r>
              <w:rPr>
                <w:rFonts w:ascii="Times New Roman" w:cs="Times New Roman" w:eastAsia="Times New Roman" w:hAnsi="Times New Roman"/>
                <w:sz w:val="25"/>
                <w:szCs w:val="25"/>
                <w:color w:val="auto"/>
                <w:w w:val="96"/>
                <w:vertAlign w:val="superscript"/>
              </w:rPr>
              <w:t>(2)</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Frontier Aspen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Midway Pipeline LLC</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Saddlehorn Pipeline Company, LLC</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Settoon Towing, LLC</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Barge Transportation Services</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STACK Pipeline LLC (“STACK”)</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Investments in Unconsolidated Entities</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40" w:hanging="652"/>
        <w:spacing w:after="0" w:line="218" w:lineRule="auto"/>
        <w:tabs>
          <w:tab w:leader="none" w:pos="660" w:val="left"/>
        </w:tabs>
        <w:numPr>
          <w:ilvl w:val="0"/>
          <w:numId w:val="9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Except for Eagle Ford Terminals, which is reported in our Facilities segment, the financial results from the entities are reported in our Transportation segment.</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9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Asset is currently under construction by the entity and has not yet been placed in service.</w:t>
      </w:r>
    </w:p>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April 3, 2017, we and an affiliate of Noble completed the acquisition of Advantage Pipeline, L.L.C. for a purchase price of $133 million through a newly formed 50/50 joint venture (the “Advantage Joint Venture”). For our 50% share ($66.5 million), we contributed approximately 1.3 million common units with a value of approximately $40 million and approximately $26 million in cash. Through the acquisition, the Advantage Joint Venture owns a 70-mile, 16-inch crude oil pipeline located in the southern Delaware Basin (the “Advantage Pipeline”), which is contractually supported by a third-party acreage dedication and a volume commitment from our wholly-owned marketing subsidiary. Noble serves as operator of the Advantage Pipeline. We account for our interest in the Advantage Joint Venture under the equity method of accounting.</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2017, we sold certain of our non-core pipelines in the Rocky Mountain region which included our ownership interests in Butte Pipe Line Company and Frontier Aspen LLC. Additionally, we and an affiliate of CVR Refining, LP (“CVR Refining”) formed a 50/50 joint venture, Midway Pipeline LLC, which acquired from us the Cushing to Broome crude oil pipeline system. The Cushing to Broome pipeline system connects CVR Refining’s Coffeyville, Kansas refinery to the Cushing, Oklahoma oil hub. We will continue to serve as operator of the pipeline. We account for our interest in Midway Pipeline LLC under the equity method of accounting.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June 2016, we sold 50% of our investment in Cheyenne, and in August 2016 we sold 50% of our investment in STACK. As a result of these transactions, we now account for our remaining 50% equity interest in such entities under the equity method of accounting.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for additional information related to certain of these transactions.</w:t>
      </w:r>
    </w:p>
    <w:p>
      <w:pPr>
        <w:spacing w:after="0" w:line="22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During the year ended December 31, 2017, we received $21 million as a return of investment from Settoon Towing, LLC related to the sale of certain of its marine assets.</w:t>
      </w:r>
    </w:p>
    <w:p>
      <w:pPr>
        <w:spacing w:after="0" w:line="18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2017, 2016 and 2015, we made cash contributions of $398 million, $288 million and $245 million, respectively, to certain of our equity method investees. The contributions for 2017 and 2015 are net of $6 million and $53 million, respectively, of returns of cash contributions made during the periods. In addition, we capitalized interest of $18 million, $13 million and $8 million during the years ended December 31, 2017, 2016 and 2015, respectively, related to contributions to unconsolidated entities for projects under development and construction. We anticipate that we will make additional contributions to Eagle Ford Terminals, Eagle Ford Pipeline, BridgeTex, Diamond and STACK in 2018 related to ongoing projects by such entities.</w:t>
      </w:r>
    </w:p>
    <w:p>
      <w:pPr>
        <w:spacing w:after="0" w:line="18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investments in unconsolidated entities exceeded our share of the underlying equity in the net assets of such entities by $736 million and $758 million at December 31, 2017 and 2016,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basis difference at both December 31, 2017 and 2016 is primarily related to our acquisition of an interest in BridgeTex in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Unconsolidated Entities</w:t>
      </w:r>
    </w:p>
    <w:p>
      <w:pPr>
        <w:spacing w:after="0" w:line="22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Combined summarized financial information for all of our unconsolidated entities is shown in the tables below (in millions). None of our unconsolidated entities have noncontrolling interests.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303</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3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3,558</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3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w:t>
            </w:r>
          </w:p>
        </w:tc>
      </w:tr>
      <w:tr>
        <w:trPr>
          <w:trHeight w:val="643"/>
        </w:trPr>
        <w:tc>
          <w:tcPr>
            <w:tcW w:w="35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35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2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769</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2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441</w:t>
            </w:r>
          </w:p>
        </w:tc>
      </w:tr>
      <w:tr>
        <w:trPr>
          <w:trHeight w:val="27"/>
        </w:trPr>
        <w:tc>
          <w:tcPr>
            <w:tcW w:w="3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20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424</w:t>
            </w:r>
          </w:p>
        </w:tc>
      </w:tr>
      <w:tr>
        <w:trPr>
          <w:trHeight w:val="675"/>
        </w:trPr>
        <w:tc>
          <w:tcPr>
            <w:tcW w:w="3560" w:type="dxa"/>
            <w:vAlign w:val="bottom"/>
          </w:tcPr>
          <w:p>
            <w:pPr>
              <w:spacing w:after="0"/>
              <w:rPr>
                <w:sz w:val="24"/>
                <w:szCs w:val="24"/>
                <w:color w:val="auto"/>
              </w:rPr>
            </w:pPr>
          </w:p>
        </w:tc>
        <w:tc>
          <w:tcPr>
            <w:tcW w:w="4200" w:type="dxa"/>
            <w:vAlign w:val="bottom"/>
            <w:gridSpan w:val="2"/>
          </w:tcPr>
          <w:p>
            <w:pPr>
              <w:jc w:val="right"/>
              <w:ind w:right="1808"/>
              <w:spacing w:after="0"/>
              <w:rPr>
                <w:sz w:val="20"/>
                <w:szCs w:val="20"/>
                <w:color w:val="auto"/>
              </w:rPr>
            </w:pPr>
            <w:r>
              <w:rPr>
                <w:rFonts w:ascii="Times New Roman" w:cs="Times New Roman" w:eastAsia="Times New Roman" w:hAnsi="Times New Roman"/>
                <w:sz w:val="18"/>
                <w:szCs w:val="18"/>
                <w:color w:val="auto"/>
              </w:rPr>
              <w:t>F-26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9—Other Long-Term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assets, net of accumulated amortization, consisted of the following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3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80" w:hanging="652"/>
        <w:spacing w:after="0" w:line="218" w:lineRule="auto"/>
        <w:tabs>
          <w:tab w:leader="none" w:pos="660" w:val="left"/>
        </w:tabs>
        <w:numPr>
          <w:ilvl w:val="0"/>
          <w:numId w:val="9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include rights-of-way, which are intangible assets, in our pipeline and related facilities amounts within property and equipment. See Note 5 for a discussion of property and equipment.</w:t>
      </w:r>
    </w:p>
    <w:p>
      <w:pPr>
        <w:spacing w:after="0" w:line="19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increase in intangible assets for the year ended December 31, 2017 was primarily due to acreage dedication contracts and associated customer relationships associated with our ACC Acquisition. See Note 6 for additional information. Amortization expense for finite-lived intangible assets for the years ended December 31, 2017, 2016 and 2015 was $54 million, $44 million and $49 million, respectively.</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2017. Our intangible assets that have finite lives consisted of the following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880" w:type="dxa"/>
            <w:vAlign w:val="bottom"/>
          </w:tcPr>
          <w:p>
            <w:pPr>
              <w:spacing w:after="0"/>
              <w:rPr>
                <w:sz w:val="13"/>
                <w:szCs w:val="13"/>
                <w:color w:val="auto"/>
              </w:rPr>
            </w:pPr>
          </w:p>
        </w:tc>
        <w:tc>
          <w:tcPr>
            <w:tcW w:w="16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260" w:type="dxa"/>
            <w:vAlign w:val="bottom"/>
          </w:tcPr>
          <w:p>
            <w:pPr>
              <w:spacing w:after="0"/>
              <w:rPr>
                <w:sz w:val="13"/>
                <w:szCs w:val="13"/>
                <w:color w:val="auto"/>
              </w:rPr>
            </w:pPr>
          </w:p>
        </w:tc>
        <w:tc>
          <w:tcPr>
            <w:tcW w:w="8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6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6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contracts and relationships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 – 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1,188</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tax abatement</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7 – 13</w:t>
            </w:r>
          </w:p>
        </w:tc>
        <w:tc>
          <w:tcPr>
            <w:tcW w:w="26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agreements</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25 – 70</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0520" w:type="dxa"/>
            <w:vAlign w:val="bottom"/>
            <w:gridSpan w:val="18"/>
          </w:tcPr>
          <w:p>
            <w:pPr>
              <w:ind w:left="660"/>
              <w:spacing w:after="0"/>
              <w:rPr>
                <w:sz w:val="20"/>
                <w:szCs w:val="20"/>
                <w:color w:val="auto"/>
              </w:rPr>
            </w:pPr>
            <w:r>
              <w:rPr>
                <w:rFonts w:ascii="Times New Roman" w:cs="Times New Roman" w:eastAsia="Times New Roman" w:hAnsi="Times New Roman"/>
                <w:sz w:val="18"/>
                <w:szCs w:val="18"/>
                <w:color w:val="auto"/>
              </w:rPr>
              <w:t>We estimate that our amortization expense related to finite-lived intangible assets for the next five years will be as follows (in millions):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675"/>
        </w:trPr>
        <w:tc>
          <w:tcPr>
            <w:tcW w:w="2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color w:val="auto"/>
                <w:w w:val="99"/>
              </w:rPr>
              <w:t>F-27</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Commercial paper notes, bearing a weighted-average interest rate of 2.4% and 1.6%, respectively </w:t>
            </w:r>
            <w:r>
              <w:rPr>
                <w:rFonts w:ascii="Times New Roman" w:cs="Times New Roman" w:eastAsia="Times New Roman" w:hAnsi="Times New Roman"/>
                <w:sz w:val="25"/>
                <w:szCs w:val="25"/>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secured hedged inventory facility, bearing a weighted-average interest rate of 2.6% and 1.8%, respectively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6.13% senior notes due January 2017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 xml:space="preserve">Total short-term debt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1,715</w:t>
            </w:r>
          </w:p>
        </w:tc>
      </w:tr>
      <w:tr>
        <w:trPr>
          <w:trHeight w:val="297"/>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6.50% senior notes due May 2018 </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85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8.75% senior notes due May 2019 </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2.60% senior notes due December 2019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5.75% senior notes due January 2020</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 senior notes due February 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3.65% senior notes due June 2022</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2.85% senior notes due January 2023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3.85% senior notes due October 2023</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3.60% senior notes due November 2024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4.65% senior notes due October 2025</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4.50% senior notes due December 2026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6.70% senior notes due May 2036</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6.65% senior notes due January 2037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5.15% senior notes due June 2042</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4.30% senior notes due January 2043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4.70% senior notes due June 2044</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4.90% senior notes due February 2045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debt: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Commercial paper notes and senior secured hedged inventory facility borrowings </w:t>
            </w:r>
            <w:r>
              <w:rPr>
                <w:rFonts w:ascii="Times New Roman" w:cs="Times New Roman" w:eastAsia="Times New Roman" w:hAnsi="Times New Roman"/>
                <w:sz w:val="25"/>
                <w:szCs w:val="25"/>
                <w:color w:val="auto"/>
                <w:vertAlign w:val="superscript"/>
              </w:rPr>
              <w:t>(4)</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10,124</w:t>
            </w:r>
          </w:p>
        </w:tc>
      </w:tr>
      <w:tr>
        <w:trPr>
          <w:trHeight w:val="264"/>
        </w:trPr>
        <w:tc>
          <w:tcPr>
            <w:tcW w:w="8580" w:type="dxa"/>
            <w:vAlign w:val="bottom"/>
          </w:tcPr>
          <w:p>
            <w:pPr>
              <w:ind w:left="500"/>
              <w:spacing w:after="0" w:line="264"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5"/>
                <w:szCs w:val="25"/>
                <w:color w:val="auto"/>
                <w:vertAlign w:val="superscript"/>
              </w:rPr>
              <w:t>(5)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11,839</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420" w:hanging="652"/>
        <w:spacing w:after="0" w:line="228" w:lineRule="auto"/>
        <w:tabs>
          <w:tab w:leader="none" w:pos="660" w:val="left"/>
        </w:tabs>
        <w:numPr>
          <w:ilvl w:val="0"/>
          <w:numId w:val="10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classified these commercial paper notes and credit facility borrowings as short-term as of December 31, 2017 and 2016, as these notes and borrowings were primarily designated as working capital borrowings, were required to be repaid within one year and were primarily for hedged NGL and crude oil inventory and NYMEX and ICE margin deposits.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121" w:right="23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400" w:hanging="652"/>
        <w:spacing w:after="0" w:line="218" w:lineRule="auto"/>
        <w:tabs>
          <w:tab w:leader="none" w:pos="660" w:val="left"/>
        </w:tabs>
        <w:numPr>
          <w:ilvl w:val="0"/>
          <w:numId w:val="1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2017 and 2016, balance includes borrowings of $212 million and $410 million, respectively, for cash margin deposits with NYMEX and ICE, which are associated with financial derivatives used for hedging purposes.</w:t>
      </w:r>
    </w:p>
    <w:p>
      <w:pPr>
        <w:spacing w:after="0" w:line="91" w:lineRule="exact"/>
        <w:rPr>
          <w:rFonts w:ascii="Times New Roman" w:cs="Times New Roman" w:eastAsia="Times New Roman" w:hAnsi="Times New Roman"/>
          <w:sz w:val="25"/>
          <w:szCs w:val="25"/>
          <w:color w:val="auto"/>
          <w:vertAlign w:val="superscript"/>
        </w:rPr>
      </w:pPr>
    </w:p>
    <w:p>
      <w:pPr>
        <w:ind w:left="660" w:right="80" w:hanging="652"/>
        <w:spacing w:after="0" w:line="218" w:lineRule="auto"/>
        <w:tabs>
          <w:tab w:leader="none" w:pos="660" w:val="left"/>
        </w:tabs>
        <w:numPr>
          <w:ilvl w:val="0"/>
          <w:numId w:val="1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 December 2017, we redeemed our $600 million, 6.50% senior notes due May 2018 and our $350 million, 8.75% senior notes due May 2019. See the “Senior Notes—Senior Note Repayments and Redemptions” section below for further discussion.</w:t>
      </w:r>
    </w:p>
    <w:p>
      <w:pPr>
        <w:spacing w:after="0" w:line="91" w:lineRule="exact"/>
        <w:rPr>
          <w:rFonts w:ascii="Times New Roman" w:cs="Times New Roman" w:eastAsia="Times New Roman" w:hAnsi="Times New Roman"/>
          <w:sz w:val="25"/>
          <w:szCs w:val="25"/>
          <w:color w:val="auto"/>
          <w:vertAlign w:val="superscript"/>
        </w:rPr>
      </w:pPr>
    </w:p>
    <w:p>
      <w:pPr>
        <w:ind w:left="660" w:right="100" w:hanging="652"/>
        <w:spacing w:after="0" w:line="218" w:lineRule="auto"/>
        <w:tabs>
          <w:tab w:leader="none" w:pos="660" w:val="left"/>
        </w:tabs>
        <w:numPr>
          <w:ilvl w:val="0"/>
          <w:numId w:val="1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2017 and 2016, we classified a portion of our commercial paper notes and senior secured hedged inventory facility borrowings as long-term based on our ability and intent to refinance such amounts on a long-term basis.</w:t>
      </w:r>
    </w:p>
    <w:p>
      <w:pPr>
        <w:spacing w:after="0" w:line="91" w:lineRule="exact"/>
        <w:rPr>
          <w:rFonts w:ascii="Times New Roman" w:cs="Times New Roman" w:eastAsia="Times New Roman" w:hAnsi="Times New Roman"/>
          <w:sz w:val="25"/>
          <w:szCs w:val="25"/>
          <w:color w:val="auto"/>
          <w:vertAlign w:val="superscript"/>
        </w:rPr>
      </w:pPr>
    </w:p>
    <w:p>
      <w:pPr>
        <w:ind w:left="660" w:right="40" w:hanging="652"/>
        <w:spacing w:after="0"/>
        <w:tabs>
          <w:tab w:leader="none" w:pos="660" w:val="left"/>
        </w:tabs>
        <w:numPr>
          <w:ilvl w:val="0"/>
          <w:numId w:val="1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Our fixed-rate senior notes (including current maturities) had a face value of approximately $9.0 billion and $10.3 billion as of December 31, 2017 and 2016, respectively. We estimated the aggregate fair value of these notes as of December 31, 2017 and 2016 to be approximately $9.1 billion and $10.4 billion, respectively. Our fixed-rate senior notes are traded among institutions, and these trades are routinely published by a reporting service. Our determination of fair value is based on reported trading activity near year end.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a commercial paper program under which we may issue (and have outstanding at any time) up to $3.0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Senior secured hedged inventory facility</w:t>
      </w:r>
      <w:r>
        <w:rPr>
          <w:rFonts w:ascii="Times New Roman" w:cs="Times New Roman" w:eastAsia="Times New Roman" w:hAnsi="Times New Roman"/>
          <w:sz w:val="18"/>
          <w:szCs w:val="18"/>
          <w:color w:val="auto"/>
        </w:rPr>
        <w:t>. We have a credit agreement that provides for a senior secured hedged inventory facility with a committed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either the Eurocurrency Rate or the Base Rate, in each case plus a margin based on our credit rating at the applicable time. The agreement also provides for one or more one-year extensions, subject to applicable approval. In August 2017, we amended this agreement to, among other things, extend the maturity date of the facility to August 2020 for each extending lender. The maturity date with respect to each non-extending lender (which represent aggregate commitments of approximately $60 million out of total commitments of $1.4 billion from all lenders) remains August 2019.</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Senior unsecured revolving credit facility. </w:t>
      </w:r>
      <w:r>
        <w:rPr>
          <w:rFonts w:ascii="Times New Roman" w:cs="Times New Roman" w:eastAsia="Times New Roman" w:hAnsi="Times New Roman"/>
          <w:sz w:val="18"/>
          <w:szCs w:val="18"/>
          <w:color w:val="auto"/>
        </w:rPr>
        <w:t>We have a credit agreement that provides for a senior unsecured revolving credit facility with a committed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capacity of $1.6 billion. Subject to obtaining additional or increased lender commitments, the committed capacity may be increased to $2.1 billion. The credit agreement also provides for the issuance of letters of credit. Borrowings accrue interest based, at our election, on the Eurocurrency Rate, the Base Rate or the Canadian Prime Rate, in each case plus a margin based on our credit rating at the applicable time. The agreement also provides for one or more one-year extensions, subject to applicable approval. In August 2017, we amended this agreement to, among other things, extend the maturity date of the facility to August 2022 for each extending lender. The maturity dates with respect to each non-extending lender (which represent aggregate commitments of $120 million out of total commitments of $1.6 billion from all lenders) remain August 2021 or mature one year earlier.</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Senior unsecured 364-day revolving credit facility. </w:t>
      </w:r>
      <w:r>
        <w:rPr>
          <w:rFonts w:ascii="Times New Roman" w:cs="Times New Roman" w:eastAsia="Times New Roman" w:hAnsi="Times New Roman"/>
          <w:sz w:val="18"/>
          <w:szCs w:val="18"/>
          <w:color w:val="auto"/>
        </w:rPr>
        <w:t>We have a credit agreement that provides for a 364-day senior unsecured revolving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borrowing capacity of $1.0 billion. In August 2017, we amended this agreement to extend the maturity date to August 2018. Additionally, a provision was added whereby we may elect to have the entire principal balance of any loans outstanding on the maturity date converted to a non-revolving term loan with a maturity date of August 2019. Borrowings accrue interest based, at our election, on either the Eurocurrency Rate or the Base Rate, as defined in the agreement, in each case plus a margin based on our credit rating at the applicable time.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80"/>
          </w:cols>
          <w:pgMar w:left="240" w:top="121" w:right="27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AAP senior secured credit agreement</w:t>
      </w:r>
      <w:r>
        <w:rPr>
          <w:rFonts w:ascii="Times New Roman" w:cs="Times New Roman" w:eastAsia="Times New Roman" w:hAnsi="Times New Roman"/>
          <w:sz w:val="18"/>
          <w:szCs w:val="18"/>
          <w:color w:val="auto"/>
        </w:rPr>
        <w:t>. In connection with the Simplification Transactions, on November 15, 2016, we assumed all of AAP’s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borrowings under the AAP senior secured credit agreement, and immediately repaid such amounts and canceled the credit agreement. See Note 1 for further discussion of the Simplification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Senior Notes Issuances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issuances of senior unsecured notes during 2016 and 2015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Borders>
              <w:bottom w:val="single" w:sz="8" w:color="CCEEFF"/>
            </w:tcBorders>
          </w:tcPr>
          <w:p>
            <w:pPr>
              <w:spacing w:after="0"/>
              <w:rPr>
                <w:sz w:val="16"/>
                <w:szCs w:val="16"/>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r>
      <w:tr>
        <w:trPr>
          <w:trHeight w:val="249"/>
        </w:trPr>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4.50% Senior Notes issued at 99.716% of face value</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2026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15 and December 15</w:t>
            </w:r>
          </w:p>
        </w:tc>
      </w:tr>
      <w:tr>
        <w:trPr>
          <w:trHeight w:val="324"/>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43"/>
        </w:trPr>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spacing w:after="0"/>
              <w:rPr>
                <w:sz w:val="21"/>
                <w:szCs w:val="21"/>
                <w:color w:val="auto"/>
              </w:rPr>
            </w:pPr>
          </w:p>
        </w:tc>
        <w:tc>
          <w:tcPr>
            <w:tcW w:w="5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4.65% Senior Notes issued at 99.846% of face value</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15 and October 15</w:t>
            </w:r>
          </w:p>
        </w:tc>
      </w:tr>
      <w:tr>
        <w:trPr>
          <w:trHeight w:val="27"/>
        </w:trPr>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issue any senior unsecured notes during the year ended December 31, 2017.</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Senior Note Repayments and Redemptions</w:t>
      </w:r>
    </w:p>
    <w:p>
      <w:pPr>
        <w:spacing w:after="0" w:line="227"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$400 million, 6.13% senior notes matured and were repaid in January 2017. In December 2017, we redeemed our $600 million, 6.50% senior notes due May 2018 and our $350 million, 8.75% senior notes due May 2019. We utilized cash on hand and available capacity under our commercial paper program and credit facilities to repay these notes. In conjunction with the early redemptions, we recognized a loss of approximately $40 million, recorded to Other income/(expense), net in our Consolidated Statements of Operations.</w:t>
      </w:r>
    </w:p>
    <w:p>
      <w:pPr>
        <w:spacing w:after="0" w:line="180"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Our $175 million, 5.88% senior notes matured and were repaid in August 2016. We utilized cash on hand and available capacity under our commercial paper program and credit facilities to repay these notes.</w:t>
      </w:r>
    </w:p>
    <w:p>
      <w:pPr>
        <w:spacing w:after="0" w:line="162"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Our $150 million, 5.25% senior notes and $400 million, 3.95% senior notes matured and were repaid in June 2015 and September 2015, respectively. We utilized cash on hand and available capacity under our commercial paper program to repay these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maturity of our long-term debt outstanding at December 31, 2017 was approximately 12 years. The following table presents the aggregate contractually scheduled maturities of such long-term debt for the next five years and thereafter. The amounts presented exclude unamortized discounts and debt issuance costs.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vMerge w:val="continue"/>
          </w:tcPr>
          <w:p>
            <w:pPr>
              <w:spacing w:after="0"/>
              <w:rPr>
                <w:sz w:val="16"/>
                <w:szCs w:val="16"/>
                <w:color w:val="auto"/>
              </w:rPr>
            </w:pPr>
          </w:p>
        </w:tc>
        <w:tc>
          <w:tcPr>
            <w:tcW w:w="6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7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6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6,653</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7040" w:type="dxa"/>
            <w:vAlign w:val="bottom"/>
            <w:gridSpan w:val="3"/>
          </w:tcPr>
          <w:p>
            <w:pPr>
              <w:jc w:val="right"/>
              <w:ind w:right="4400"/>
              <w:spacing w:after="0"/>
              <w:rPr>
                <w:sz w:val="20"/>
                <w:szCs w:val="20"/>
                <w:color w:val="auto"/>
              </w:rPr>
            </w:pPr>
            <w:r>
              <w:rPr>
                <w:rFonts w:ascii="Times New Roman" w:cs="Times New Roman" w:eastAsia="Times New Roman" w:hAnsi="Times New Roman"/>
                <w:sz w:val="18"/>
                <w:szCs w:val="18"/>
                <w:color w:val="auto"/>
              </w:rPr>
              <w:t>F-30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Compliance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credit agreements (which impact our ability to access our commercial paper program because they provide a financial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288" w:lineRule="exact"/>
        <w:rPr>
          <w:sz w:val="20"/>
          <w:szCs w:val="20"/>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certain property;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including capital leases;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substantially all of our assets or enter into a merger or consolidation;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burdensome agreements.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agreements for our senior unsecured revolving credit facility, senior secured hedged inventory facility and senior unsecured 364-day revolving credit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and/or during the GP Simplification Period (the period beginning on November 15, 2016 and ending on December 31, 2017)).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default under our credit facilities would permit the lenders to accelerate the maturity of the outstanding debt. As long as we are in compliance with our credit agreements, our ability to make distributions of available cash is not restricted. As of December 31, 2017, we were in compliance with the covenants contained in our credit agreements and indentures.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our credit agreements and commercial paper program for the years ended December 31, 2017, 2016 and 2015 were approximately $60.8 billion, $60.3 billion and $62.2 billion, respectively. Total repayments under our credit agreements and commercial paper program were approximately $61.5 billion, $61.0 billion and $61.3 billion for the years ended December 31, 2017, 2016 and 2015, respectively. The variance in total gross borrowings and repayments is impacted by various business and financial factors including, but not limited to, the timing, average term and method of general partnership borrowing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2017 and 2016, we had outstanding letters of credit of $166 million and $73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At December 31, 2017, partners’ capital consisted of outstanding common units and Series A and Series B preferred units, which represent limited partner interests in us, which give the holders thereof the right to participate in distributions and to exercise the other rights or privileges as outlined in our partnership agreement. Our general partner has a non-economic interest in us. However, prior to the closing of the Simplification Transactions, our outstanding common units and Series A preferred units represented a 98% effective aggregate ownership interest in us and our subsidiaries after giving effect to the 2% general partner interest. See Note 1 for discussion of the Simplification Transactions.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activity for our preferred and common units: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7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5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375,107,793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common units</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22,133,904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LTIP</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485,927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397,727,624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Series A preferred units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61,030,127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Series A preferred units in connection with in-kind distributions</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3,358,726</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common units</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26,278,288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LTIP</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480,581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units in connection with Simplification Transactions (Note 1)</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244,707,926</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64,388,853</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669,194,419</w:t>
            </w:r>
          </w:p>
        </w:tc>
        <w:tc>
          <w:tcPr>
            <w:tcW w:w="0" w:type="dxa"/>
            <w:vAlign w:val="bottom"/>
          </w:tcPr>
          <w:p>
            <w:pPr>
              <w:spacing w:after="0"/>
              <w:rPr>
                <w:sz w:val="1"/>
                <w:szCs w:val="1"/>
                <w:color w:val="auto"/>
              </w:rPr>
            </w:pPr>
          </w:p>
        </w:tc>
      </w:tr>
      <w:tr>
        <w:trPr>
          <w:trHeight w:val="311"/>
        </w:trPr>
        <w:tc>
          <w:tcPr>
            <w:tcW w:w="64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Series A preferred units in connection with in-kind distributions</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5,307,689</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Series B preferred units</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common units</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54,119,893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units in connection with acquisition of interest in Advantage</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 (Note 6)</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1,252,269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LTIP</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622,557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69,696,542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725,189,138</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F-32</w:t>
            </w: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Common Unit Issuances</w:t>
      </w:r>
      <w:r>
        <w:rPr>
          <w:rFonts w:ascii="Times New Roman" w:cs="Times New Roman" w:eastAsia="Times New Roman" w:hAnsi="Times New Roman"/>
          <w:sz w:val="18"/>
          <w:szCs w:val="18"/>
          <w:color w:val="auto"/>
        </w:rPr>
        <w:t>. We have entered into several equity distribution agreements under our Continuous Offering Program, pursuant to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offer and sell, through sales agents, common units representing limited partner interests. We may also sell common units through overnight or underwritten offerings. In addition, we may sell common units to AAP pursuant to the Omnibus Agreement entered into by the Plains Entities in connection with the November 2016 Simplification Transactions.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sales of common units (net proceeds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Borders>
              <w:bottom w:val="single" w:sz="8" w:color="CCEEFF"/>
            </w:tcBorders>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Offering</w:t>
            </w:r>
          </w:p>
        </w:tc>
        <w:tc>
          <w:tcPr>
            <w:tcW w:w="12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Common Units Issued</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xml:space="preserve">Net Proceeds </w:t>
            </w:r>
            <w:r>
              <w:rPr>
                <w:rFonts w:ascii="Times New Roman" w:cs="Times New Roman" w:eastAsia="Times New Roman" w:hAnsi="Times New Roman"/>
                <w:sz w:val="8"/>
                <w:szCs w:val="8"/>
                <w:b w:val="1"/>
                <w:bCs w:val="1"/>
                <w:color w:val="auto"/>
              </w:rPr>
              <w:t>(1) (2)</w:t>
            </w:r>
          </w:p>
        </w:tc>
        <w:tc>
          <w:tcPr>
            <w:tcW w:w="340" w:type="dxa"/>
            <w:vAlign w:val="bottom"/>
            <w:tcBorders>
              <w:bottom w:val="single" w:sz="8" w:color="CCEEFF"/>
            </w:tcBorders>
          </w:tcPr>
          <w:p>
            <w:pPr>
              <w:spacing w:after="0"/>
              <w:rPr>
                <w:sz w:val="16"/>
                <w:szCs w:val="16"/>
                <w:color w:val="auto"/>
              </w:rPr>
            </w:pPr>
          </w:p>
        </w:tc>
      </w:tr>
      <w:tr>
        <w:trPr>
          <w:trHeight w:val="249"/>
        </w:trPr>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Continuous Offering Program</w:t>
            </w:r>
          </w:p>
        </w:tc>
        <w:tc>
          <w:tcPr>
            <w:tcW w:w="2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4,033,567</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270"/>
        </w:trPr>
        <w:tc>
          <w:tcPr>
            <w:tcW w:w="2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Borders>
              <w:bottom w:val="single" w:sz="8" w:color="CCEEFF"/>
            </w:tcBorders>
          </w:tcPr>
          <w:p>
            <w:pPr>
              <w:spacing w:after="0"/>
              <w:rPr>
                <w:sz w:val="23"/>
                <w:szCs w:val="23"/>
                <w:color w:val="auto"/>
              </w:rPr>
            </w:pPr>
          </w:p>
        </w:tc>
        <w:tc>
          <w:tcPr>
            <w:tcW w:w="4020" w:type="dxa"/>
            <w:vAlign w:val="bottom"/>
            <w:tcBorders>
              <w:bottom w:val="single" w:sz="8" w:color="CCEEFF"/>
            </w:tcBorders>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7"/>
              </w:rPr>
              <w:t xml:space="preserve">Omnibus Agreement </w:t>
            </w:r>
            <w:r>
              <w:rPr>
                <w:rFonts w:ascii="Times New Roman" w:cs="Times New Roman" w:eastAsia="Times New Roman" w:hAnsi="Times New Roman"/>
                <w:sz w:val="25"/>
                <w:szCs w:val="25"/>
                <w:color w:val="auto"/>
                <w:w w:val="97"/>
                <w:vertAlign w:val="superscript"/>
              </w:rPr>
              <w:t>(4)</w:t>
            </w:r>
          </w:p>
        </w:tc>
        <w:tc>
          <w:tcPr>
            <w:tcW w:w="2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50,086,326</w:t>
            </w:r>
          </w:p>
        </w:tc>
        <w:tc>
          <w:tcPr>
            <w:tcW w:w="34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1,535</w:t>
            </w:r>
          </w:p>
        </w:tc>
        <w:tc>
          <w:tcPr>
            <w:tcW w:w="340" w:type="dxa"/>
            <w:vAlign w:val="bottom"/>
            <w:tcBorders>
              <w:bottom w:val="single" w:sz="8" w:color="CCEEFF"/>
            </w:tcBorders>
          </w:tcPr>
          <w:p>
            <w:pPr>
              <w:spacing w:after="0"/>
              <w:rPr>
                <w:sz w:val="23"/>
                <w:szCs w:val="23"/>
                <w:color w:val="auto"/>
              </w:rPr>
            </w:pPr>
          </w:p>
        </w:tc>
      </w:tr>
      <w:tr>
        <w:trPr>
          <w:trHeight w:val="257"/>
        </w:trPr>
        <w:tc>
          <w:tcPr>
            <w:tcW w:w="2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2017 Total</w:t>
            </w:r>
          </w:p>
        </w:tc>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54,119,893</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1,664</w:t>
            </w:r>
          </w:p>
        </w:tc>
        <w:tc>
          <w:tcPr>
            <w:tcW w:w="340" w:type="dxa"/>
            <w:vAlign w:val="bottom"/>
            <w:shd w:val="clear" w:color="auto" w:fill="CCEEFF"/>
          </w:tcPr>
          <w:p>
            <w:pPr>
              <w:spacing w:after="0"/>
              <w:rPr>
                <w:sz w:val="22"/>
                <w:szCs w:val="22"/>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2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2016 Total</w:t>
            </w:r>
          </w:p>
        </w:tc>
        <w:tc>
          <w:tcPr>
            <w:tcW w:w="4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Continuous Offering Program</w:t>
            </w:r>
          </w:p>
        </w:tc>
        <w:tc>
          <w:tcPr>
            <w:tcW w:w="2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26,278,288</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805</w:t>
            </w:r>
          </w:p>
        </w:tc>
        <w:tc>
          <w:tcPr>
            <w:tcW w:w="3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2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Continuous Offering Program</w:t>
            </w:r>
          </w:p>
        </w:tc>
        <w:tc>
          <w:tcPr>
            <w:tcW w:w="2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1,133,904</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243"/>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1"/>
                <w:szCs w:val="21"/>
                <w:color w:val="auto"/>
              </w:rPr>
            </w:pPr>
          </w:p>
        </w:tc>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Underwritten Offering</w:t>
            </w:r>
          </w:p>
        </w:tc>
        <w:tc>
          <w:tcPr>
            <w:tcW w:w="2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21,000,000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1,062</w:t>
            </w:r>
          </w:p>
        </w:tc>
        <w:tc>
          <w:tcPr>
            <w:tcW w:w="340" w:type="dxa"/>
            <w:vAlign w:val="bottom"/>
          </w:tcPr>
          <w:p>
            <w:pPr>
              <w:spacing w:after="0"/>
              <w:rPr>
                <w:sz w:val="21"/>
                <w:szCs w:val="2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2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2015 Total</w:t>
            </w:r>
          </w:p>
        </w:tc>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22,133,904</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1,121</w:t>
            </w:r>
          </w:p>
        </w:tc>
        <w:tc>
          <w:tcPr>
            <w:tcW w:w="340" w:type="dxa"/>
            <w:vAlign w:val="bottom"/>
            <w:shd w:val="clear" w:color="auto" w:fill="CCEEFF"/>
          </w:tcPr>
          <w:p>
            <w:pPr>
              <w:spacing w:after="0"/>
              <w:rPr>
                <w:sz w:val="22"/>
                <w:szCs w:val="22"/>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are net of costs associated with the offerings.</w:t>
      </w:r>
    </w:p>
    <w:p>
      <w:pPr>
        <w:spacing w:after="0" w:line="98" w:lineRule="exact"/>
        <w:rPr>
          <w:rFonts w:ascii="Times New Roman" w:cs="Times New Roman" w:eastAsia="Times New Roman" w:hAnsi="Times New Roman"/>
          <w:sz w:val="25"/>
          <w:szCs w:val="25"/>
          <w:color w:val="auto"/>
          <w:vertAlign w:val="superscript"/>
        </w:rPr>
      </w:pPr>
    </w:p>
    <w:p>
      <w:pPr>
        <w:ind w:left="660" w:right="260" w:hanging="652"/>
        <w:spacing w:after="0" w:line="214" w:lineRule="auto"/>
        <w:tabs>
          <w:tab w:leader="none" w:pos="660" w:val="left"/>
        </w:tabs>
        <w:numPr>
          <w:ilvl w:val="0"/>
          <w:numId w:val="10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 periods prior to the closing of the Simplification Transactions, amounts include our general partner’s proportionate capital contributions of $9 million and $22 million during 2016 and 2015, respectively.</w:t>
      </w:r>
    </w:p>
    <w:p>
      <w:pPr>
        <w:spacing w:after="0" w:line="90" w:lineRule="exact"/>
        <w:rPr>
          <w:rFonts w:ascii="Times New Roman" w:cs="Times New Roman" w:eastAsia="Times New Roman" w:hAnsi="Times New Roman"/>
          <w:sz w:val="25"/>
          <w:szCs w:val="25"/>
          <w:color w:val="auto"/>
          <w:vertAlign w:val="superscript"/>
        </w:rPr>
      </w:pPr>
    </w:p>
    <w:p>
      <w:pPr>
        <w:ind w:left="660" w:right="80" w:hanging="652"/>
        <w:spacing w:after="0" w:line="218" w:lineRule="auto"/>
        <w:tabs>
          <w:tab w:leader="none" w:pos="660" w:val="left"/>
        </w:tabs>
        <w:numPr>
          <w:ilvl w:val="0"/>
          <w:numId w:val="10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pay commissions to our sales agents in connection with common unit issuances under our Continuous Offering Program. We paid $1 million, $8 million and $1 million of such commissions during 2017, 2016 and 2015, respectively.</w:t>
      </w:r>
    </w:p>
    <w:p>
      <w:pPr>
        <w:spacing w:after="0" w:line="91" w:lineRule="exact"/>
        <w:rPr>
          <w:rFonts w:ascii="Times New Roman" w:cs="Times New Roman" w:eastAsia="Times New Roman" w:hAnsi="Times New Roman"/>
          <w:sz w:val="25"/>
          <w:szCs w:val="25"/>
          <w:color w:val="auto"/>
          <w:vertAlign w:val="superscript"/>
        </w:rPr>
      </w:pPr>
    </w:p>
    <w:p>
      <w:pPr>
        <w:ind w:left="660" w:right="80" w:hanging="652"/>
        <w:spacing w:after="0" w:line="236" w:lineRule="auto"/>
        <w:tabs>
          <w:tab w:leader="none" w:pos="660" w:val="left"/>
        </w:tabs>
        <w:numPr>
          <w:ilvl w:val="0"/>
          <w:numId w:val="10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Pursuant to the Omnibus Agreement entered into by the Plains Entities in connection with the Simplification Transactions, PAGP used the net proceeds from the sale of PAGP Class A shares, after deducting the sales agents’ commissions and offering expenses, to purchase from AAP a number of AAP units equal to the number of PAGP Class A shares sold in such offering at a price equal to the net proceeds from such offering. Also pursuant to the Omnibus Agreement, immediately following such purchase and sale, AAP used the net proceeds it received from such sale of AAP units to purchase from us an equivalent number of our common units.</w:t>
      </w:r>
    </w:p>
    <w:p>
      <w:pPr>
        <w:spacing w:after="0" w:line="91" w:lineRule="exact"/>
        <w:rPr>
          <w:rFonts w:ascii="Times New Roman" w:cs="Times New Roman" w:eastAsia="Times New Roman" w:hAnsi="Times New Roman"/>
          <w:sz w:val="25"/>
          <w:szCs w:val="25"/>
          <w:color w:val="auto"/>
          <w:vertAlign w:val="superscript"/>
        </w:rPr>
      </w:pPr>
    </w:p>
    <w:p>
      <w:pPr>
        <w:ind w:left="660" w:right="380" w:hanging="652"/>
        <w:spacing w:after="0" w:line="229" w:lineRule="auto"/>
        <w:tabs>
          <w:tab w:leader="none" w:pos="660" w:val="left"/>
        </w:tabs>
        <w:numPr>
          <w:ilvl w:val="0"/>
          <w:numId w:val="1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(i) approximately 1.8 million common units issued to AAP in connection with PAGP’s issuance of Class A shares under its Continuous Offering Program and (ii) 48.3 million common units issued to AAP in connection with PAGP’s March 2017 underwritten offering.</w:t>
      </w:r>
    </w:p>
    <w:p>
      <w:pPr>
        <w:spacing w:after="0" w:line="19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A Preferred Unit Issuance</w:t>
      </w:r>
      <w:r>
        <w:rPr>
          <w:rFonts w:ascii="Times New Roman" w:cs="Times New Roman" w:eastAsia="Times New Roman" w:hAnsi="Times New Roman"/>
          <w:sz w:val="18"/>
          <w:szCs w:val="18"/>
          <w:color w:val="auto"/>
        </w:rPr>
        <w:t>. On January 28, 2016 (the “Issuance Date”), we completed the private placement of approximately 61.0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units representing limited partner interests in us for a cash purchase price of $26.25 per unit (the “Issue Price”), resulting in total net proceeds to us, after deducting offering expenses and the 2% transaction fee due to the purchasers and including our general partner’s proportionate capital contribution, of approximately $1.6 billion. Certain of the purchasers or their affiliates are related parties. See Note 15 for additional information.</w:t>
      </w:r>
    </w:p>
    <w:p>
      <w:pPr>
        <w:spacing w:after="0" w:line="18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Series A preferred units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equal to $0.525 per unit ($2.10 per unit annualized). With respect to each quarter ending on or prior to December 31, 2017 (the “Initial Distribution Period”), we elected to pay distributions on the Series A preferred units in additional Series A preferred units. With respect to any quarter ending after the Initial Distribution Period, we must pay distributions on the Series A preferred units in cash.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122" w:right="23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purchasers may convert their Series A preferred units into common units, generally on a one-for-one basis and subject to customary anti-dilution adjustments, at any time after January 28, 2018, in whole or in part, subject to certain minimum conversion amounts (and not more often than once per quarter). We may convert the Series A preferred units into common units at any time (but not more often than once per quarter) after the third anniversary of the Issuance Date (January 28, 2019), in whole or in part, subject to certain minimum conversion amounts, if the closing price of our common units is greater than 150% of the Issue Price for the preceding 20 trading days. The Series A preferred units vote on an as-converted basis with our common units and will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to common units at the then applicable conversion rate.</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a period of 30 days following (a) the fifth anniversary of the Issuance Date of the Series A preferred units and (b) each subsequent anniversary of the Issuance Date, the holders of the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12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the common units for a trading day period specified in our partnership agreement) or a combination of cash and common units at a redemption price equal to 110% of the Issue Price, plus any accrued and unpaid distributions.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 Issuance. </w:t>
      </w:r>
      <w:r>
        <w:rPr>
          <w:rFonts w:ascii="Times New Roman" w:cs="Times New Roman" w:eastAsia="Times New Roman" w:hAnsi="Times New Roman"/>
          <w:sz w:val="18"/>
          <w:szCs w:val="18"/>
          <w:color w:val="auto"/>
        </w:rPr>
        <w:t>On October 10, 2017, we issued 800,000 Series B Fixed-to-Floating Rate Cumulative Redeemable Perpetual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Units representing limited partner interests in us (the “Series B preferred units”) at a price to the public of $1,000 per unit. We used the net proceeds of $788 million, after deducting the underwriters’ discounts and offering expenses, from the issuance of the Series B preferred units to repay amounts outstanding under our credit facilities and commercial paper program and for general partnership purposes.</w:t>
      </w:r>
    </w:p>
    <w:p>
      <w:pPr>
        <w:spacing w:after="0" w:line="18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on par with our outstanding Series A preferred units.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occurrence of certain rating agency events, we may redeem the Series B preferred units, in whole but not in part, at a price</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121" w:right="23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In accordance with our partnership agreement, after making distributions to holders of outstanding preferred units, we distribute 100% of our available cash within 45 days following the end of each quarter to common unitholders of record. Available cash is generally defined as all of our cash and cash equivalents on hand at the end of each quarter, less reserves established in the reasonable discretion of our general partner for future requirements.</w:t>
      </w:r>
    </w:p>
    <w:p>
      <w:pPr>
        <w:spacing w:after="0" w:line="15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distributions paid to common unitholders (and, prior to the Simplification Transactions, our general partner) during the year presented (in millions, except per unit data):</w:t>
      </w:r>
    </w:p>
    <w:p>
      <w:pPr>
        <w:spacing w:after="0" w:line="3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Distributions Paid</w:t>
      </w:r>
    </w:p>
    <w:tbl>
      <w:tblPr>
        <w:tblLayout w:type="fixed"/>
        <w:tblInd w:w="0" w:type="dxa"/>
        <w:tblCellMar>
          <w:top w:w="0" w:type="dxa"/>
          <w:left w:w="0" w:type="dxa"/>
          <w:bottom w:w="0" w:type="dxa"/>
          <w:right w:w="0" w:type="dxa"/>
        </w:tblCellMar>
      </w:tblPr>
      <w:tr>
        <w:trPr>
          <w:trHeight w:val="47"/>
        </w:trPr>
        <w:tc>
          <w:tcPr>
            <w:tcW w:w="2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vMerge w:val="restart"/>
          </w:tcPr>
          <w:p>
            <w:pPr>
              <w:jc w:val="right"/>
              <w:ind w:right="457"/>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63"/>
        </w:trPr>
        <w:tc>
          <w:tcPr>
            <w:tcW w:w="2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680" w:type="dxa"/>
            <w:vAlign w:val="bottom"/>
            <w:vMerge w:val="restart"/>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0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660" w:type="dxa"/>
            <w:vAlign w:val="bottom"/>
            <w:vMerge w:val="restart"/>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 xml:space="preserve">AAP </w:t>
            </w:r>
            <w:r>
              <w:rPr>
                <w:rFonts w:ascii="Times New Roman" w:cs="Times New Roman" w:eastAsia="Times New Roman" w:hAnsi="Times New Roman"/>
                <w:sz w:val="8"/>
                <w:szCs w:val="8"/>
                <w:b w:val="1"/>
                <w:bCs w:val="1"/>
                <w:color w:val="auto"/>
              </w:rPr>
              <w:t>(1)</w:t>
            </w:r>
          </w:p>
        </w:tc>
        <w:tc>
          <w:tcPr>
            <w:tcW w:w="10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249"/>
        </w:trPr>
        <w:tc>
          <w:tcPr>
            <w:tcW w:w="2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1,627</w:t>
            </w:r>
          </w:p>
        </w:tc>
        <w:tc>
          <w:tcPr>
            <w:tcW w:w="140" w:type="dxa"/>
            <w:vAlign w:val="bottom"/>
            <w:tcBorders>
              <w:right w:val="single" w:sz="8" w:color="auto"/>
            </w:tcBorders>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Borders>
              <w:right w:val="single" w:sz="8" w:color="auto"/>
            </w:tcBorders>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80" w:hanging="652"/>
        <w:spacing w:after="0" w:line="253" w:lineRule="auto"/>
        <w:tabs>
          <w:tab w:leader="none" w:pos="660" w:val="left"/>
        </w:tabs>
        <w:numPr>
          <w:ilvl w:val="0"/>
          <w:numId w:val="10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Prior to the Simplification Transactions, our general partner was entitled to receive (i) distributions with respect to its 2% indirect general partner interest and (ii) as the holder of our IDRs, incentive distributions if the amount we distributed with respect to any quarter exceeded certain specified levels. The Simplification Transactions, which closed on November 15, 2016, included the permanent elimination of our IDRs and the economic rights associated with our 2% general partner interest in exchange for the issuance by us to AAP of approximately 244.7 million common units. As such, beginning with the distribution pertaining to the fourth quarter of 2016, our general partner is no longer entitled to receive distributions on the IDRs or general partner interest. During the year ended December 31, 2017, AAP received distributions on the common units it owned.</w:t>
      </w:r>
    </w:p>
    <w:p>
      <w:pPr>
        <w:spacing w:after="0" w:line="19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January 8, 2018, we declared a cash distribution of $0.30 per unit on our outstanding common units. The total distribution of $218 million was paid on February 14, 2018 to unitholders of record on January 31, 2018, for the period October 1, 2017 through December 31, 2017. Of this amount, approximately $85 million was paid to AAP.</w:t>
      </w:r>
    </w:p>
    <w:p>
      <w:pPr>
        <w:spacing w:after="0" w:line="174"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Preferred Unit Distributions. </w:t>
      </w:r>
      <w:r>
        <w:rPr>
          <w:rFonts w:ascii="Times New Roman" w:cs="Times New Roman" w:eastAsia="Times New Roman" w:hAnsi="Times New Roman"/>
          <w:sz w:val="18"/>
          <w:szCs w:val="18"/>
          <w:color w:val="auto"/>
        </w:rPr>
        <w:t>In 2017, we issued 5,307,689 Series A preferred units in lieu of cash distributions of $139 million. In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issued 3,358,726 Series A preferred units in lieu of cash distributions of $89 million.</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14, 2018, we issued 1,393,926 Series A preferred units in lieu of a cash distribution of $37 million. Since the February 14, 2018 Series A preferred unit distribution was declared as payment-in-kind, the distribution payable was accrued to partners’ capital as of December 31, 2017 and thus had no net impact on the Series A preferred unitholders’ capital account.</w:t>
      </w:r>
    </w:p>
    <w:p>
      <w:pPr>
        <w:spacing w:after="0" w:line="17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 Distributions. </w:t>
      </w:r>
      <w:r>
        <w:rPr>
          <w:rFonts w:ascii="Times New Roman" w:cs="Times New Roman" w:eastAsia="Times New Roman" w:hAnsi="Times New Roman"/>
          <w:sz w:val="18"/>
          <w:szCs w:val="18"/>
          <w:color w:val="auto"/>
        </w:rPr>
        <w:t>We paid a pro-rated initial distribution on the Series B preferred units on November 15, 2017 to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at the close of business on November 1, 2017 in an amount equal to approximately $5.9549 per unit (a total distribution of approximately $5 million). At December 31, 2017, we had accrued approximately $6 million of distributions payable to our Series B preferred unitholders.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Allocation</w:t>
      </w:r>
    </w:p>
    <w:p>
      <w:pPr>
        <w:spacing w:after="0" w:line="229"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allocate net income for partners’ capital presentation purposes by applying the allocation methodology in our partnership agreement. Following the closing of the Simplification Transactions, net income is allocated 100% to our common unitholders, after giving effect to income allocations for cash distributions to our Series A preferred unitholders and guaranteed payments attributable to our Series B preferred unitholders. In accordance with our partnership agreement, our Series A preferred unitholders are not allocated income for paid-in-kind distributions for partners’ capital presentation purposes.</w:t>
      </w:r>
    </w:p>
    <w:p>
      <w:pPr>
        <w:spacing w:after="0" w:line="1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periods prior to the Simplification Transactions, our general partner and common unitholders were allocated income based on their respective partnership percentages, after giving effect to income allocations for (i) incentive distributions, if any, to our general partner for distributions declared and paid following the close of each quarter and (ii) cash distributions to our Series A preferred unitholders. Our Series A preferred unitholders were not allocated income for paid-in-kind distributions for partners’ capital presentation purposes.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80"/>
          </w:cols>
          <w:pgMar w:left="240" w:top="121" w:right="27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(whether paid in cash or in-kind) on our Series A and Series B preferred units. See Note 3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2017, we sold SLC Pipeline LLC, in which we previously owned a 75% interest and had consolidated under GAAP. As a result of this sale, the noncontrolling interest of 25% was derecognized. We did not have any noncontrolling interests in subsidiaries at December 31, 2017. See Note 6 for additional information regarding the sale of SLC Pipeline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12—Derivatives and Risk Management Activities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7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Purchases and Sales </w:t>
      </w:r>
      <w:r>
        <w:rPr>
          <w:rFonts w:ascii="Times New Roman" w:cs="Times New Roman" w:eastAsia="Times New Roman" w:hAnsi="Times New Roman"/>
          <w:sz w:val="18"/>
          <w:szCs w:val="18"/>
          <w:color w:val="auto"/>
        </w:rPr>
        <w:t>— In the normal course of our operations, we purchase and sell commodities. We use derivatives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risks and to optimize profits. As of December 31, 2017, net derivative positions related to these activities included:</w:t>
      </w:r>
    </w:p>
    <w:p>
      <w:pPr>
        <w:spacing w:after="0" w:line="52" w:lineRule="exact"/>
        <w:rPr>
          <w:sz w:val="20"/>
          <w:szCs w:val="20"/>
          <w:color w:val="auto"/>
        </w:rPr>
      </w:pPr>
    </w:p>
    <w:p>
      <w:pPr>
        <w:ind w:left="980" w:right="30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3.3 million barrels associated with our crude oil purchases, which was unwound ratably during January 2018 to match monthly average pricing.</w:t>
      </w:r>
    </w:p>
    <w:p>
      <w:pPr>
        <w:spacing w:after="0" w:line="53"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5.2 million barrels, which hedges a portion of our anticipated crude oil lease gathering purchases through February 2019.</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crude oil grade basis position of 30.3 million barrels through December 2019. These derivatives allow us to lock in grade basis differentials.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16.5 million barrels through December 2020 related to anticipated net sales of our crude oil and NGL inventory.</w:t>
      </w:r>
    </w:p>
    <w:p>
      <w:pPr>
        <w:spacing w:after="0" w:line="22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Pipeline Loss Allowance Oil </w:t>
      </w:r>
      <w:r>
        <w:rPr>
          <w:rFonts w:ascii="Times New Roman" w:cs="Times New Roman" w:eastAsia="Times New Roman" w:hAnsi="Times New Roman"/>
          <w:sz w:val="18"/>
          <w:szCs w:val="18"/>
          <w:color w:val="auto"/>
        </w:rPr>
        <w:t>— As is common in the pipeline transportation industry, our tariffs incorporate a loss allowance factor that is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among other things, offset losses due to evaporation, measurement and other losses in transit. We utilize derivative instruments to hedge a portion of the anticipated sales of the allowance oil that is to be collected under our tariffs. As of December 31, 2017, our PLA hedges included a net short position consisting of crude oil futures of 1.1 million barrels and a long call option position of 0.9 million barrels through December 2019.</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00"/>
          </w:cols>
          <w:pgMar w:left="240" w:top="121" w:right="25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Processing/NGL Fractionation </w:t>
      </w:r>
      <w:r>
        <w:rPr>
          <w:rFonts w:ascii="Times New Roman" w:cs="Times New Roman" w:eastAsia="Times New Roman" w:hAnsi="Times New Roman"/>
          <w:sz w:val="18"/>
          <w:szCs w:val="18"/>
          <w:color w:val="auto"/>
        </w:rPr>
        <w:t>— We purchase natural gas for processing and operational needs. Additionally, we purchase NGL mix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December 31, 2017, we had a long natural gas position of 54.3 Bcf which hedges our natural gas processing and operational needs through December 2020. We also had a short propane position of 8.6 million barrels through December 2018, a short butane position of 2.6 million barrels through December 2018 and a short WTI position of 1.0 million barrels through December 2018. In addition, we had a long power position of 0.4 million megawatt hours, which hedges a portion of our power supply requirements at our Canadian natural gas processing and fractionation plants through December 2019.</w:t>
      </w:r>
    </w:p>
    <w:p>
      <w:pPr>
        <w:spacing w:after="0" w:line="18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December 31, 2017 (notional amounts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100" w:type="dxa"/>
            <w:vAlign w:val="bottom"/>
            <w:vMerge w:val="restart"/>
          </w:tcPr>
          <w:p>
            <w:pPr>
              <w:spacing w:after="0"/>
              <w:rPr>
                <w:sz w:val="13"/>
                <w:szCs w:val="13"/>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22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Anticipated interest payments</w:t>
            </w:r>
          </w:p>
        </w:tc>
        <w:tc>
          <w:tcPr>
            <w:tcW w:w="2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 forward starting swaps (30-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1"/>
        </w:trPr>
        <w:tc>
          <w:tcPr>
            <w:tcW w:w="3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year)</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Anticipated interest payments</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 forward starting swaps (30-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6/14/2019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year)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and forwards.</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2017,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open forward exchange contracts as of December 31, 2017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4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Exchange Rate</w:t>
            </w:r>
          </w:p>
        </w:tc>
        <w:tc>
          <w:tcPr>
            <w:tcW w:w="0" w:type="dxa"/>
            <w:vAlign w:val="bottom"/>
          </w:tcPr>
          <w:p>
            <w:pPr>
              <w:spacing w:after="0"/>
              <w:rPr>
                <w:sz w:val="1"/>
                <w:szCs w:val="1"/>
                <w:color w:val="auto"/>
              </w:rPr>
            </w:pPr>
          </w:p>
        </w:tc>
      </w:tr>
      <w:tr>
        <w:trPr>
          <w:trHeight w:val="195"/>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 to CAD</w:t>
            </w:r>
          </w:p>
        </w:tc>
        <w:tc>
          <w:tcPr>
            <w:tcW w:w="0" w:type="dxa"/>
            <w:vAlign w:val="bottom"/>
          </w:tcPr>
          <w:p>
            <w:pPr>
              <w:spacing w:after="0"/>
              <w:rPr>
                <w:sz w:val="1"/>
                <w:szCs w:val="1"/>
                <w:color w:val="auto"/>
              </w:rPr>
            </w:pPr>
          </w:p>
        </w:tc>
      </w:tr>
      <w:tr>
        <w:trPr>
          <w:trHeight w:val="249"/>
        </w:trPr>
        <w:tc>
          <w:tcPr>
            <w:tcW w:w="7220" w:type="dxa"/>
            <w:vAlign w:val="bottom"/>
            <w:tcBorders>
              <w:top w:val="single" w:sz="8" w:color="CCEEFF"/>
              <w:bottom w:val="single" w:sz="8" w:color="CCEEFF"/>
            </w:tcBorders>
            <w:shd w:val="clear" w:color="auto" w:fill="CCEEFF"/>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rPr>
              <w:t>Forward exchange contracts that exchange CAD for USD: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$1.26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20" w:type="dxa"/>
            <w:vAlign w:val="bottom"/>
          </w:tcPr>
          <w:p>
            <w:pPr>
              <w:jc w:val="right"/>
              <w:ind w:right="2630"/>
              <w:spacing w:after="0"/>
              <w:rPr>
                <w:sz w:val="20"/>
                <w:szCs w:val="20"/>
                <w:color w:val="auto"/>
              </w:rPr>
            </w:pPr>
            <w:r>
              <w:rPr>
                <w:rFonts w:ascii="Times New Roman" w:cs="Times New Roman" w:eastAsia="Times New Roman" w:hAnsi="Times New Roman"/>
                <w:sz w:val="18"/>
                <w:szCs w:val="18"/>
                <w:b w:val="1"/>
                <w:bCs w:val="1"/>
                <w:color w:val="auto"/>
              </w:rPr>
              <w:t>Forward exchange contracts that exchange USD for CAD: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 $1.27</w:t>
            </w:r>
          </w:p>
        </w:tc>
        <w:tc>
          <w:tcPr>
            <w:tcW w:w="0" w:type="dxa"/>
            <w:vAlign w:val="bottom"/>
          </w:tcPr>
          <w:p>
            <w:pPr>
              <w:spacing w:after="0"/>
              <w:rPr>
                <w:sz w:val="1"/>
                <w:szCs w:val="1"/>
                <w:color w:val="auto"/>
              </w:rPr>
            </w:pPr>
          </w:p>
        </w:tc>
      </w:tr>
      <w:tr>
        <w:trPr>
          <w:trHeight w:val="675"/>
        </w:trPr>
        <w:tc>
          <w:tcPr>
            <w:tcW w:w="72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F-37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Distribution Rate Reset Option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Consolidated Balance Sheet. Corresponding changes in fair value are recognized in “Other income/(expense), net” in our Consolidated Statement of Operations. At December 31, 2017 and 2016, the fair value of this embedded derivative was a liability of approximately $22 million and $32 million, respectively. We recognized gains of approximately $13 million and $30 million for the years ended December 31, 2017 and 2016, respectively. See Note 11 for additional information regarding our Series A preferred units and the Preferred Distribution Rate Reset Option.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Impact</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impact of our derivatives recognized in earnings is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in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Not Designated</w:t>
            </w:r>
          </w:p>
        </w:tc>
        <w:tc>
          <w:tcPr>
            <w:tcW w:w="36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 xml:space="preserve">Relationships </w:t>
            </w:r>
            <w:r>
              <w:rPr>
                <w:rFonts w:ascii="Times New Roman" w:cs="Times New Roman" w:eastAsia="Times New Roman" w:hAnsi="Times New Roman"/>
                <w:sz w:val="8"/>
                <w:szCs w:val="8"/>
                <w:b w:val="1"/>
                <w:bCs w:val="1"/>
                <w:color w:val="auto"/>
              </w:rPr>
              <w:t>(1)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a Hedge</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 Derivatives</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1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Field operating costs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Derivatives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Preferred Distribution Rate Reset Option</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income/(expense), net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Gain/(Loss) on Derivatives Recognized in Net Income</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60" w:type="dxa"/>
            <w:vAlign w:val="bottom"/>
          </w:tcPr>
          <w:p>
            <w:pPr>
              <w:spacing w:after="0"/>
              <w:rPr>
                <w:sz w:val="24"/>
                <w:szCs w:val="24"/>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F-38</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9" w:name="page160"/>
    <w:bookmarkEnd w:id="159"/>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Location of Gain/(Loss)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Commodity Derivatives</w:t>
      </w: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Transportation segment revenues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Interest Rate Derivatives</w:t>
      </w:r>
    </w:p>
    <w:p>
      <w:pPr>
        <w:spacing w:after="0" w:line="3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p>
      <w:pPr>
        <w:spacing w:after="0" w:line="3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Preferred Distribution Rate Reset Option</w:t>
      </w: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income/(expense), net</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Total Gain/(Loss) on Derivatives Recognized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Location of Gain/(Loss)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Commodity Derivatives</w:t>
      </w: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Transportation segment revenues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Field operating costs</w:t>
      </w:r>
    </w:p>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Interest Rate Derivatives</w:t>
      </w: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p>
      <w:pPr>
        <w:spacing w:after="0" w:line="3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Supply and Logistics segment revenues</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Total Gain/(Loss) on Derivatives Recognized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504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32499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4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Derivatives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Not Designated</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 xml:space="preserve">Relationships </w:t>
            </w:r>
            <w:r>
              <w:rPr>
                <w:rFonts w:ascii="Times New Roman" w:cs="Times New Roman" w:eastAsia="Times New Roman" w:hAnsi="Times New Roman"/>
                <w:sz w:val="8"/>
                <w:szCs w:val="8"/>
                <w:b w:val="1"/>
                <w:bCs w:val="1"/>
                <w:color w:val="auto"/>
              </w:rPr>
              <w:t>(1)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as a Hedge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134"/>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in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Not Designated</w:t>
            </w:r>
          </w:p>
        </w:tc>
        <w:tc>
          <w:tcPr>
            <w:tcW w:w="36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 xml:space="preserve">Relationships </w:t>
            </w:r>
            <w:r>
              <w:rPr>
                <w:rFonts w:ascii="Times New Roman" w:cs="Times New Roman" w:eastAsia="Times New Roman" w:hAnsi="Times New Roman"/>
                <w:sz w:val="8"/>
                <w:szCs w:val="8"/>
                <w:b w:val="1"/>
                <w:bCs w:val="1"/>
                <w:color w:val="auto"/>
              </w:rPr>
              <w:t>(1)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as a Hedge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567"/>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121"/>
        </w:trPr>
        <w:tc>
          <w:tcPr>
            <w:tcW w:w="180" w:type="dxa"/>
            <w:vAlign w:val="bottom"/>
          </w:tcPr>
          <w:p>
            <w:pPr>
              <w:spacing w:after="0"/>
              <w:rPr>
                <w:sz w:val="24"/>
                <w:szCs w:val="24"/>
                <w:color w:val="auto"/>
              </w:rPr>
            </w:pP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-6731635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-6370955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-6010910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-5659120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-5299075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-4947920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-4587240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-4227195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-3867150</wp:posOffset>
            </wp:positionV>
            <wp:extent cx="724662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-7099935</wp:posOffset>
            </wp:positionV>
            <wp:extent cx="724662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-2709545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-2348865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-1988820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-1637030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-1276985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-925830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-565150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-205105</wp:posOffset>
            </wp:positionV>
            <wp:extent cx="724662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-3077845</wp:posOffset>
            </wp:positionV>
            <wp:extent cx="7246620"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720"/>
            <w:col w:w="5120"/>
          </w:cols>
          <w:pgMar w:left="240" w:top="121" w:right="239" w:bottom="1440" w:gutter="0" w:footer="0" w:header="0"/>
          <w:type w:val="continuous"/>
        </w:sectPr>
      </w:pPr>
    </w:p>
    <w:p>
      <w:pPr>
        <w:spacing w:after="0" w:line="160" w:lineRule="exact"/>
        <w:rPr>
          <w:sz w:val="20"/>
          <w:szCs w:val="20"/>
          <w:color w:val="auto"/>
        </w:rPr>
      </w:pPr>
    </w:p>
    <w:p>
      <w:pPr>
        <w:ind w:left="660" w:right="20" w:hanging="652"/>
        <w:spacing w:after="0" w:line="233" w:lineRule="auto"/>
        <w:tabs>
          <w:tab w:leader="none" w:pos="660" w:val="left"/>
        </w:tabs>
        <w:numPr>
          <w:ilvl w:val="0"/>
          <w:numId w:val="10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the year ended December 31, 2017, we reclassified losses of approximately $10 million to Interest expense, net. During the year ended December 31, 2016, we reclassified losses of approximately $2 million to Supply and Logistics segment revenues and $2 million to Interest expense, net. During the year ended December 31, 2015, we reclassified a loss of approximately $4 million to Interest expense, net. Each reclassification from AOCI to earnings was due to anticipated hedged transactions being probable of not occurring.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121" w:right="239" w:bottom="1440" w:gutter="0" w:footer="0" w:header="0"/>
          <w:type w:val="continuous"/>
        </w:sectPr>
      </w:pPr>
    </w:p>
    <w:bookmarkStart w:id="160" w:name="page161"/>
    <w:bookmarkEnd w:id="1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right="80" w:hanging="652"/>
        <w:spacing w:after="0" w:line="218" w:lineRule="auto"/>
        <w:tabs>
          <w:tab w:leader="none" w:pos="66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in Interest expense, net include a loss of $4 million during the year ended December 31, 2016 attributable to the ineffective portion of cash flow hedges. No ineffectiveness was recognized for cash flow hedges during the years ended December 31, 2017 or 2015.</w:t>
      </w:r>
    </w:p>
    <w:p>
      <w:pPr>
        <w:spacing w:after="0" w:line="19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Consolidated Balance Sheet on a gross basis as of December 31, 2017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64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640" w:type="dxa"/>
            <w:vAlign w:val="bottom"/>
            <w:gridSpan w:val="2"/>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Pr>
          <w:p>
            <w:pPr>
              <w:spacing w:after="0"/>
              <w:rPr>
                <w:sz w:val="12"/>
                <w:szCs w:val="12"/>
                <w:color w:val="auto"/>
              </w:rPr>
            </w:pPr>
          </w:p>
        </w:tc>
        <w:tc>
          <w:tcPr>
            <w:tcW w:w="80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2"/>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Pr>
          <w:p>
            <w:pPr>
              <w:spacing w:after="0"/>
              <w:rPr>
                <w:sz w:val="12"/>
                <w:szCs w:val="12"/>
                <w:color w:val="auto"/>
              </w:rPr>
            </w:pPr>
          </w:p>
        </w:tc>
        <w:tc>
          <w:tcPr>
            <w:tcW w:w="80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264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1"/>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4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8"/>
                <w:szCs w:val="18"/>
                <w:color w:val="auto"/>
              </w:rPr>
              <w:t>F-40</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derivative assets and liabilities on our Consolidated Balance Sheet on a gross basis as of December 31, 2016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64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640" w:type="dxa"/>
            <w:vAlign w:val="bottom"/>
            <w:gridSpan w:val="2"/>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Pr>
          <w:p>
            <w:pPr>
              <w:spacing w:after="0"/>
              <w:rPr>
                <w:sz w:val="12"/>
                <w:szCs w:val="12"/>
                <w:color w:val="auto"/>
              </w:rPr>
            </w:pPr>
          </w:p>
        </w:tc>
        <w:tc>
          <w:tcPr>
            <w:tcW w:w="80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2"/>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Pr>
          <w:p>
            <w:pPr>
              <w:spacing w:after="0"/>
              <w:rPr>
                <w:sz w:val="12"/>
                <w:szCs w:val="12"/>
                <w:color w:val="auto"/>
              </w:rPr>
            </w:pPr>
          </w:p>
        </w:tc>
        <w:tc>
          <w:tcPr>
            <w:tcW w:w="80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264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6"/>
                <w:szCs w:val="16"/>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11"/>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00"/>
        </w:trPr>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credits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5"/>
        </w:trPr>
        <w:tc>
          <w:tcPr>
            <w:tcW w:w="39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9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Our derivative transactions (other than the Preferred Distribution Rate Reset Option)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Initial margin</w:t>
            </w:r>
          </w:p>
        </w:tc>
        <w:tc>
          <w:tcPr>
            <w:tcW w:w="4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Variation margin posted</w:t>
            </w:r>
          </w:p>
        </w:tc>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36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broker receivable</w:t>
            </w:r>
          </w:p>
        </w:tc>
        <w:tc>
          <w:tcPr>
            <w:tcW w:w="4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464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color w:val="auto"/>
              </w:rPr>
              <w:t>F-41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2" w:name="page163"/>
    <w:bookmarkEnd w:id="1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derivative financial assets and liabilities that are subject to offsetting, including enforceable master netting arrangements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49"/>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15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1320" w:type="dxa"/>
            <w:vAlign w:val="bottom"/>
          </w:tcPr>
          <w:p>
            <w:pPr>
              <w:jc w:val="right"/>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r>
      <w:tr>
        <w:trPr>
          <w:trHeight w:val="195"/>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Liability Positions</w:t>
            </w:r>
          </w:p>
        </w:tc>
      </w:tr>
      <w:tr>
        <w:trPr>
          <w:trHeight w:val="249"/>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position - asset/(liability)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collateral paid</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2017, there was a net loss of $223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December 31, 2017, we expect to reclassify a net loss of $8 million to earnings in the next twelve months. The remaining deferred loss of $215 million is expected to be reclassified to earnings through 2049. A portion of these amounts is based on market prices as of December 31, 2017; thus, actual amounts to be reclassified will differ and could vary materially as a result of changes in market conditions.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deferred gain/(loss) recognized in AOCI for derivatives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derivatives, net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594"/>
        <w:spacing w:after="0" w:line="266" w:lineRule="auto"/>
        <w:rPr>
          <w:sz w:val="20"/>
          <w:szCs w:val="20"/>
          <w:color w:val="auto"/>
        </w:rPr>
      </w:pPr>
      <w:r>
        <w:rPr>
          <w:rFonts w:ascii="Times New Roman" w:cs="Times New Roman" w:eastAsia="Times New Roman" w:hAnsi="Times New Roman"/>
          <w:sz w:val="18"/>
          <w:szCs w:val="18"/>
          <w:color w:val="auto"/>
        </w:rPr>
        <w:t>At December 31, 2017 and December 31, 2016,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121" w:right="239"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as of December 31,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December 31, 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Preferred Distribution Rate Reset Option</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193"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5"/>
          <w:szCs w:val="25"/>
          <w:color w:val="auto"/>
          <w:vertAlign w:val="superscript"/>
        </w:rPr>
      </w:pPr>
    </w:p>
    <w:p>
      <w:pPr>
        <w:ind w:left="660" w:right="160"/>
        <w:spacing w:after="0" w:line="282"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57"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29" w:lineRule="exact"/>
        <w:rPr>
          <w:rFonts w:ascii="Times New Roman" w:cs="Times New Roman" w:eastAsia="Times New Roman" w:hAnsi="Times New Roman"/>
          <w:sz w:val="25"/>
          <w:szCs w:val="25"/>
          <w:color w:val="auto"/>
          <w:vertAlign w:val="superscript"/>
        </w:rPr>
      </w:pPr>
    </w:p>
    <w:p>
      <w:pPr>
        <w:ind w:left="660" w:right="460"/>
        <w:spacing w:after="0" w:line="266"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72"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i w:val="1"/>
          <w:iCs w:val="1"/>
          <w:color w:val="auto"/>
        </w:rPr>
        <w:t>Level 3</w:t>
      </w:r>
    </w:p>
    <w:p>
      <w:pPr>
        <w:spacing w:after="0" w:line="229" w:lineRule="exact"/>
        <w:rPr>
          <w:rFonts w:ascii="Times New Roman" w:cs="Times New Roman" w:eastAsia="Times New Roman" w:hAnsi="Times New Roman"/>
          <w:sz w:val="25"/>
          <w:szCs w:val="25"/>
          <w:color w:val="auto"/>
          <w:vertAlign w:val="superscript"/>
        </w:rPr>
      </w:pPr>
    </w:p>
    <w:p>
      <w:pPr>
        <w:ind w:left="660" w:right="140"/>
        <w:spacing w:after="0" w:line="282"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Level 3 of the fair value hierarchy includes certain physical commodity contracts and the Preferred Distribution Rate Reset Option contained in our partnership agreement which is classified as an embedded derivative.</w:t>
      </w:r>
    </w:p>
    <w:p>
      <w:pPr>
        <w:spacing w:after="0" w:line="161" w:lineRule="exact"/>
        <w:rPr>
          <w:rFonts w:ascii="Times New Roman" w:cs="Times New Roman" w:eastAsia="Times New Roman" w:hAnsi="Times New Roman"/>
          <w:sz w:val="25"/>
          <w:szCs w:val="25"/>
          <w:color w:val="auto"/>
          <w:vertAlign w:val="superscript"/>
        </w:rPr>
      </w:pPr>
    </w:p>
    <w:p>
      <w:pPr>
        <w:ind w:left="660" w:right="100"/>
        <w:spacing w:after="0" w:line="261"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fair value of our Level 3 physical commodity contracts is based on a valuation model utilizing timing estimates, which involve management judgment. Significant changes in timing could result in a material change in fair value to our physical commodity contracts. We report unrealized gains and losses associated with these physical commodity contracts in our Consolidated Statements of Operations as Supply and Logistics segment revenues.</w:t>
      </w:r>
    </w:p>
    <w:p>
      <w:pPr>
        <w:spacing w:after="0" w:line="180" w:lineRule="exact"/>
        <w:rPr>
          <w:rFonts w:ascii="Times New Roman" w:cs="Times New Roman" w:eastAsia="Times New Roman" w:hAnsi="Times New Roman"/>
          <w:sz w:val="25"/>
          <w:szCs w:val="25"/>
          <w:color w:val="auto"/>
          <w:vertAlign w:val="superscript"/>
        </w:rPr>
      </w:pPr>
    </w:p>
    <w:p>
      <w:pPr>
        <w:ind w:left="660" w:right="140"/>
        <w:spacing w:after="0" w:line="277"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Consolidated Statements of Operations as “Other income/(expense), net.”</w:t>
      </w:r>
    </w:p>
    <w:p>
      <w:pPr>
        <w:spacing w:after="0" w:line="16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 the extent any transfers between levels of the fair value hierarchy occur, our policy is to reflect these transfers as of the beginning of the reporting period in which they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121" w:right="239" w:bottom="1440" w:gutter="0" w:footer="0" w:header="0"/>
        </w:sectPr>
      </w:pPr>
    </w:p>
    <w:bookmarkStart w:id="164" w:name="page165"/>
    <w:bookmarkEnd w:id="1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Level 3 Net Asset/(Liability)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changes in fair value of the beginning and ending balances for our derivatives classified as Level 3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for the period included in earnings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entered into during the period</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unrealized gains/(losses) included in earnings relating to Level 3 derivatives still held at the end of the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4"/>
        </w:trPr>
        <w:tc>
          <w:tcPr>
            <w:tcW w:w="8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13—Income Taxes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8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2017 and 2016, we had not recognized any material amounts in connection with uncertainty in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Taxes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an MLP, we are not subject to U.S. federal income taxes; rather the tax effect of our operations is passed through to our unitholders. Although we are subject to state income taxes in some states, the impact to the years ended December 31, 2017, 2016, and 2015 was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Federal and Provincial Taxes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121" w:right="239" w:bottom="1440" w:gutter="0" w:footer="0" w:header="0"/>
        </w:sectPr>
      </w:pPr>
    </w:p>
    <w:bookmarkStart w:id="165" w:name="page166"/>
    <w:bookmarkEnd w:id="1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income tax expense are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Canadian federal and provincial income tax</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60" w:type="dxa"/>
            <w:vAlign w:val="bottom"/>
            <w:tcBorders>
              <w:top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Canadian federal and provincial income tax</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income tax expense/(benefit)</w:t>
            </w:r>
          </w:p>
        </w:tc>
        <w:tc>
          <w:tcPr>
            <w:tcW w:w="1060" w:type="dxa"/>
            <w:vAlign w:val="bottom"/>
            <w:tcBorders>
              <w:top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income tax expense based on the statutory federal income tax rate and our effective income tax expense is summarized as follows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tax</w:t>
            </w: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1,006</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Partnership earnings not subject to current Canadian tax</w:t>
            </w: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(773)</w:t>
            </w:r>
          </w:p>
        </w:tc>
      </w:tr>
      <w:tr>
        <w:trPr>
          <w:trHeight w:val="27"/>
        </w:trPr>
        <w:tc>
          <w:tcPr>
            <w:tcW w:w="4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Canadian federal and provincial corporate tax rate</w:t>
            </w: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at statutory rate</w:t>
            </w: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r>
      <w:tr>
        <w:trPr>
          <w:trHeight w:val="297"/>
        </w:trPr>
        <w:tc>
          <w:tcPr>
            <w:tcW w:w="4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withholding tax</w:t>
            </w:r>
          </w:p>
        </w:tc>
        <w:tc>
          <w:tcPr>
            <w:tcW w:w="27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Canadian permanent differences and rate changes</w:t>
            </w: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w:t>
            </w:r>
          </w:p>
        </w:tc>
        <w:tc>
          <w:tcPr>
            <w:tcW w:w="17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7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760" w:type="dxa"/>
            <w:vAlign w:val="bottom"/>
            <w:gridSpan w:val="2"/>
          </w:tcPr>
          <w:p>
            <w:pPr>
              <w:jc w:val="right"/>
              <w:ind w:right="1599"/>
              <w:spacing w:after="0"/>
              <w:rPr>
                <w:sz w:val="20"/>
                <w:szCs w:val="20"/>
                <w:color w:val="auto"/>
              </w:rPr>
            </w:pPr>
            <w:r>
              <w:rPr>
                <w:rFonts w:ascii="Times New Roman" w:cs="Times New Roman" w:eastAsia="Times New Roman" w:hAnsi="Times New Roman"/>
                <w:sz w:val="18"/>
                <w:szCs w:val="18"/>
                <w:color w:val="auto"/>
              </w:rPr>
              <w:t>F-45</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assets and liabilities are aggregated by the applicable tax paying entity and jurisdiction and result from the following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accruals in excess of current tax deductions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r>
      <w:tr>
        <w:trPr>
          <w:trHeight w:val="291"/>
        </w:trPr>
        <w:tc>
          <w:tcPr>
            <w:tcW w:w="83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in excess of tax values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sheet classification of deferred tax assets/(liabilities):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7"/>
        </w:trPr>
        <w:tc>
          <w:tcPr>
            <w:tcW w:w="8340" w:type="dxa"/>
            <w:vAlign w:val="bottom"/>
          </w:tcPr>
          <w:p>
            <w:pPr>
              <w:spacing w:after="0"/>
              <w:rPr>
                <w:sz w:val="20"/>
                <w:szCs w:val="20"/>
                <w:color w:val="auto"/>
              </w:rPr>
            </w:pPr>
          </w:p>
        </w:tc>
        <w:tc>
          <w:tcPr>
            <w:tcW w:w="98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7"/>
        </w:trPr>
        <w:tc>
          <w:tcPr>
            <w:tcW w:w="8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2017, we had foreign net operating loss carryforwards of $9 million, which will expire beginning in 2034.</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Generally, tax returns for our Canadian entities are open to audit from 2008 through 2017. Our U.S. and state tax years are generally open to examination from 2014 to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14—Major Customers and Concentration of Credit Risk</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Marathon Petroleum Corporation and its subsidiaries accounted for 19%, 18% and 17% of our revenues for the years ended December 31, 2017, 2016 and 2015, respectively. ExxonMobil Corporation and its subsidiaries accounted for 11%, 14% and 13% of our revenues for the years ended December 31, 2017, 2016 and 2015, respectively. Phillips 66 Company and its subsidiaries accounted for 11% of our revenues in each of the years ended December 31, 2017 and 2016. No other customers accounted for 10% or more of our revenues during any of the three years ended December 31, 2017.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121" w:right="239" w:bottom="1440" w:gutter="0" w:footer="0" w:header="0"/>
        </w:sectPr>
      </w:pPr>
    </w:p>
    <w:bookmarkStart w:id="167" w:name="page168"/>
    <w:bookmarkEnd w:id="1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PAGP Class C Shares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2017 and 2016, we owned 510,925,432 and 491,910,863,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 commencing in May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Our General Partner and its Affiliates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general partner provides general and administrative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2017, 2016 and 2015 were $489 million, $514 million and $648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Simplification Transactions completed in November 2016, the Plains Entities entered into an Omnibus Agreement, which provides for the following:</w:t>
      </w:r>
    </w:p>
    <w:p>
      <w:pPr>
        <w:spacing w:after="0" w:line="162" w:lineRule="exact"/>
        <w:rPr>
          <w:sz w:val="20"/>
          <w:szCs w:val="20"/>
          <w:color w:val="auto"/>
        </w:rPr>
      </w:pPr>
    </w:p>
    <w:p>
      <w:pPr>
        <w:ind w:left="660" w:right="20" w:hanging="328"/>
        <w:spacing w:after="0" w:line="26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all periods following the closing of the Simplification Transactions,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We paid $4 million of such expenses in both 2017 and 2016;</w:t>
      </w:r>
    </w:p>
    <w:p>
      <w:pPr>
        <w:spacing w:after="0" w:line="180"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During the year ended December 31, 2017, we issued approximately 1.8 million common units to AAP in connection with PAGP’s issuance of Class A shares under its Continuous Offering Program and 48.3 million common units to AAP in connection with PAGP’s March 2017 underwritten offering (See Note 11 for additional information); and</w:t>
      </w:r>
    </w:p>
    <w:p>
      <w:pPr>
        <w:spacing w:after="0" w:line="18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lend proceeds of any future indebtedness incurred by it to AAP, and AAP’s corresponding ability to lend such proceeds to us, in each case on substantially the same terms as incurred by PAGP.</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 for discussion of the Simplification Transactions.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380"/>
          </w:cols>
          <w:pgMar w:left="240" w:top="122" w:right="279" w:bottom="1440" w:gutter="0" w:footer="0" w:header="0"/>
        </w:sectPr>
      </w:pPr>
    </w:p>
    <w:bookmarkStart w:id="168" w:name="page169"/>
    <w:bookmarkEnd w:id="1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Oxy</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2017, Oxy had a representative on the board of directors of PAGP GP and owned approximately 11% of the limited partner interests in AAP. During the three years ended December 31,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those transactions is included below (in millions):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866</w:t>
            </w:r>
          </w:p>
        </w:tc>
      </w:tr>
      <w:tr>
        <w:trPr>
          <w:trHeight w:val="243"/>
        </w:trPr>
        <w:tc>
          <w:tcPr>
            <w:tcW w:w="6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5"/>
                <w:szCs w:val="25"/>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660" w:right="240" w:hanging="652"/>
        <w:spacing w:after="0" w:line="218" w:lineRule="auto"/>
        <w:tabs>
          <w:tab w:leader="none" w:pos="660" w:val="left"/>
        </w:tabs>
        <w:numPr>
          <w:ilvl w:val="0"/>
          <w:numId w:val="1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199" w:lineRule="exact"/>
        <w:rPr>
          <w:rFonts w:ascii="Times New Roman" w:cs="Times New Roman" w:eastAsia="Times New Roman" w:hAnsi="Times New Roman"/>
          <w:sz w:val="25"/>
          <w:szCs w:val="25"/>
          <w:color w:val="auto"/>
          <w:vertAlign w:val="superscript"/>
        </w:rPr>
      </w:pPr>
    </w:p>
    <w:p>
      <w:pPr>
        <w:ind w:left="6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currently have a netting arrangement with Oxy. Our gross receivable and payable amounts with Oxy were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 and other receivables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789</w:t>
            </w:r>
          </w:p>
        </w:tc>
      </w:tr>
      <w:tr>
        <w:trPr>
          <w:trHeight w:val="297"/>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836</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Equity Method Investees</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also have transactions with companies in which we hold an investment accounted for under the equity method of accounting (see Note 8 for information related to these investments). We recorded revenues of $3 million, $14 million and $17 million during the years ended December 31, 2017, 2016 and 2015, respectively. During the three years ended December 31, 2017, we utilized transportation services and purchased petroleum products provided by these companies. Costs related to these services totaled $434 million, $209 million and $164 million for the years ended December 31, 2017, 2016 and 2015, respectively. These transactions were conducted at posted tariff rates or contracted rates or prices that we believe approximate market.</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Receivables from our equity method investees totaled $26 million and $39 million at December 31, 2017 and 2016, respectively, and primarily included amounts related to transportation services. In addition, at December 31, 2016, we had prepaid tariff costs related to our equity method investees of $14 million. Accounts payable to our equity method investees were $41 million and $35 million at December 31, 2017 and 2016, respectively, and primarily included amounts related to transportation services.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Unit Issuance</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January 2016, we completed a private placement of Series A preferred units. Certain of the purchasers of the Series A preferred units or their affiliates are related parties. Kayne Anderson Capital Advisors, L.P. and certain of its affiliates and an affiliate of The Energy Minerals Group hold ownership interests in our general partner. In addition, certain of the current directors of our general partner are affiliated with certain of the purchasers. See Note 11 for additional information about our Series A preferred units.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121" w:right="239" w:bottom="1440" w:gutter="0" w:footer="0" w:header="0"/>
        </w:sectPr>
      </w:pPr>
    </w:p>
    <w:bookmarkStart w:id="169" w:name="page170"/>
    <w:bookmarkEnd w:id="1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16—Equity-Indexed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PAA Long-Term Incentive Plan Awards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underlying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Certain LTIP awards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awards authorized under our LTIPs as of December 31, 2017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LTIP</w:t>
            </w:r>
          </w:p>
        </w:tc>
        <w:tc>
          <w:tcPr>
            <w:tcW w:w="140" w:type="dxa"/>
            <w:vAlign w:val="bottom"/>
            <w:vMerge w:val="restart"/>
          </w:tcPr>
          <w:p>
            <w:pPr>
              <w:spacing w:after="0"/>
              <w:rPr>
                <w:sz w:val="13"/>
                <w:szCs w:val="13"/>
                <w:color w:val="auto"/>
              </w:rPr>
            </w:pPr>
          </w:p>
        </w:tc>
        <w:tc>
          <w:tcPr>
            <w:tcW w:w="2260" w:type="dxa"/>
            <w:vAlign w:val="bottom"/>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PAA LTIP</w:t>
            </w:r>
          </w:p>
        </w:tc>
        <w:tc>
          <w:tcPr>
            <w:tcW w:w="0" w:type="dxa"/>
            <w:vAlign w:val="bottom"/>
          </w:tcPr>
          <w:p>
            <w:pPr>
              <w:spacing w:after="0"/>
              <w:rPr>
                <w:sz w:val="1"/>
                <w:szCs w:val="1"/>
                <w:color w:val="auto"/>
              </w:rPr>
            </w:pPr>
          </w:p>
        </w:tc>
      </w:tr>
      <w:tr>
        <w:trPr>
          <w:trHeight w:val="195"/>
        </w:trPr>
        <w:tc>
          <w:tcPr>
            <w:tcW w:w="9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Awards Authorized</w:t>
            </w:r>
          </w:p>
        </w:tc>
        <w:tc>
          <w:tcPr>
            <w:tcW w:w="0" w:type="dxa"/>
            <w:vAlign w:val="bottom"/>
          </w:tcPr>
          <w:p>
            <w:pPr>
              <w:spacing w:after="0"/>
              <w:rPr>
                <w:sz w:val="1"/>
                <w:szCs w:val="1"/>
                <w:color w:val="auto"/>
              </w:rPr>
            </w:pPr>
          </w:p>
        </w:tc>
      </w:tr>
      <w:tr>
        <w:trPr>
          <w:trHeight w:val="249"/>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All American 2013 Long-Term Incentive Plan</w:t>
            </w:r>
          </w:p>
        </w:tc>
        <w:tc>
          <w:tcPr>
            <w:tcW w:w="2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9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Plains All American PNG Successor Long-Term Incentive Plan</w:t>
            </w:r>
          </w:p>
        </w:tc>
        <w:tc>
          <w:tcPr>
            <w:tcW w:w="2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All American GP LLC 2006 Long-Term Incentive Tracking Unit Plan</w:t>
            </w:r>
          </w:p>
        </w:tc>
        <w:tc>
          <w:tcPr>
            <w:tcW w:w="2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7"/>
        </w:trPr>
        <w:tc>
          <w:tcPr>
            <w:tcW w:w="9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2017, 7.3 million LTIP awards were outstanding. Of this amount, 2.6 million include DERs. The outstanding and probable LTIP awards are expected to vest at various dates between January 1, 2018 and December 31, 2022.</w:t>
      </w:r>
    </w:p>
    <w:p>
      <w:pPr>
        <w:spacing w:after="0" w:line="162"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Our accrued liability at December 31, 2017 related to all outstanding liability-classified LTIP awards and DERs was $27 million, of which $15 million was classified as short-term and $12 million was classified as long-term. These short- and long-term accrued LTIP liabilities are reflected in “Accounts payable and accrued liabilities” and “Other long-term liabilities and deferred credits,” respectively, on our Consolidated Balance Sheets. At December 31, 2016, the accrued liability was $38 million, of which $25 million was classified as short-term and $13 million was classified as long-term.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121" w:right="239" w:bottom="1440" w:gutter="0" w:footer="0" w:header="0"/>
        </w:sectPr>
      </w:pPr>
    </w:p>
    <w:bookmarkStart w:id="170" w:name="page171"/>
    <w:bookmarkEnd w:id="1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Activity for LTIP awards under our equity-indexed compensation plans denominated in PAA units is summarized in the following table (units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 xml:space="preserve">PAA Units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0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0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Modified</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0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29.62</w:t>
            </w:r>
          </w:p>
        </w:tc>
        <w:tc>
          <w:tcPr>
            <w:tcW w:w="0" w:type="dxa"/>
            <w:vAlign w:val="bottom"/>
          </w:tcPr>
          <w:p>
            <w:pPr>
              <w:spacing w:after="0"/>
              <w:rPr>
                <w:sz w:val="1"/>
                <w:szCs w:val="1"/>
                <w:color w:val="auto"/>
              </w:rPr>
            </w:pPr>
          </w:p>
        </w:tc>
      </w:tr>
      <w:tr>
        <w:trPr>
          <w:trHeight w:val="237"/>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Modified</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3"/>
        </w:trPr>
        <w:tc>
          <w:tcPr>
            <w:tcW w:w="9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jc w:val="both"/>
        <w:ind w:left="660" w:right="360" w:hanging="652"/>
        <w:spacing w:after="0" w:line="239" w:lineRule="auto"/>
        <w:tabs>
          <w:tab w:leader="none" w:pos="660" w:val="left"/>
        </w:tabs>
        <w:numPr>
          <w:ilvl w:val="0"/>
          <w:numId w:val="1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Approximately 0.6 million, 0.5 million and 0.5 million PAA common units were issued, net of tax withholding of approximately 0.2 million, 0.3 million and 0.3 million units during 2017, 2016 and 2015, respectively, in connection with the settlement of vested awards. The remaining PAA awards (approximately 0.9 million, 1.1 million and 1.3 million units) that vested during 2017, 2016 and 2015, respectively, were settled in cash.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AAP Management Units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August 2007, the owners of AAP authorized the issuance of AAP Management Units (a profits interest) to provide additional long-term incentives and encourage retention for certain members of our senior management. This plan has been discontinued and there will be no new grants of AAP Management Units; however, as of December 31, 2017, 0.8 million outstanding AAP Management Units were unearned. These AAP Management Units will become earned based on the attainment of certain PAA distribution levels and additional performance conditions based on distributable cash flow measures determined by management. Once earned, we will issue to AAP approximately 0.941 common units for each AAP Management Unit, and each AAP Management Unit will be entitled to a distribution equal to approximately 94.1% of the distribution paid by AAP to an AAP unit on a quarterly basis. Once vested, each AAP Management Unit holder is entitled to convert his or her AAP Management Units into AAP units and a like number of PAGP Class B shares based on a conversion ratio of approximately 0.941 AAP units and Class B shares for each AAP Management Unit.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Equity-Indexed Compensation Plan Information</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refer to all of the LTIPs and AAP Management Units collectively as our “equity-indexed compensation plans.” The table below summarizes the expense recognized and the value of vested LTIP awards (settled both in common units and cash) under our equity-indexed compensation plans and includes both liability-classified and equity-classified awards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8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LTIP unit-settled vestings</w:t>
            </w:r>
          </w:p>
        </w:tc>
        <w:tc>
          <w:tcPr>
            <w:tcW w:w="36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LTIP cash-settled vestings</w:t>
            </w:r>
          </w:p>
        </w:tc>
        <w:tc>
          <w:tcPr>
            <w:tcW w:w="362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r>
      <w:tr>
        <w:trPr>
          <w:trHeight w:val="675"/>
        </w:trPr>
        <w:tc>
          <w:tcPr>
            <w:tcW w:w="4180" w:type="dxa"/>
            <w:vAlign w:val="bottom"/>
          </w:tcPr>
          <w:p>
            <w:pPr>
              <w:spacing w:after="0"/>
              <w:rPr>
                <w:sz w:val="24"/>
                <w:szCs w:val="24"/>
                <w:color w:val="auto"/>
              </w:rPr>
            </w:pPr>
          </w:p>
        </w:tc>
        <w:tc>
          <w:tcPr>
            <w:tcW w:w="3620" w:type="dxa"/>
            <w:vAlign w:val="bottom"/>
            <w:gridSpan w:val="2"/>
          </w:tcPr>
          <w:p>
            <w:pPr>
              <w:jc w:val="right"/>
              <w:ind w:right="1848"/>
              <w:spacing w:after="0"/>
              <w:rPr>
                <w:sz w:val="20"/>
                <w:szCs w:val="20"/>
                <w:color w:val="auto"/>
              </w:rPr>
            </w:pPr>
            <w:r>
              <w:rPr>
                <w:rFonts w:ascii="Times New Roman" w:cs="Times New Roman" w:eastAsia="Times New Roman" w:hAnsi="Times New Roman"/>
                <w:sz w:val="18"/>
                <w:szCs w:val="18"/>
                <w:color w:val="auto"/>
              </w:rPr>
              <w:t>F-50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1" w:name="page172"/>
    <w:bookmarkEnd w:id="1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Based on the December 31, 2017 fair value measurement and probability assessment regarding future distributions, we expect to recognize $75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Equity-Indexed</w:t>
            </w:r>
          </w:p>
        </w:tc>
        <w:tc>
          <w:tcPr>
            <w:tcW w:w="0" w:type="dxa"/>
            <w:vAlign w:val="bottom"/>
          </w:tcPr>
          <w:p>
            <w:pPr>
              <w:spacing w:after="0"/>
              <w:rPr>
                <w:sz w:val="1"/>
                <w:szCs w:val="1"/>
                <w:color w:val="auto"/>
              </w:rPr>
            </w:pPr>
          </w:p>
        </w:tc>
      </w:tr>
      <w:tr>
        <w:trPr>
          <w:trHeight w:val="149"/>
        </w:trPr>
        <w:tc>
          <w:tcPr>
            <w:tcW w:w="8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23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 Fair Value</w:t>
            </w:r>
          </w:p>
        </w:tc>
        <w:tc>
          <w:tcPr>
            <w:tcW w:w="0" w:type="dxa"/>
            <w:vAlign w:val="bottom"/>
          </w:tcPr>
          <w:p>
            <w:pPr>
              <w:spacing w:after="0"/>
              <w:rPr>
                <w:sz w:val="1"/>
                <w:szCs w:val="1"/>
                <w:color w:val="auto"/>
              </w:rPr>
            </w:pPr>
          </w:p>
        </w:tc>
      </w:tr>
      <w:tr>
        <w:trPr>
          <w:trHeight w:val="195"/>
        </w:trPr>
        <w:tc>
          <w:tcPr>
            <w:tcW w:w="8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8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50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right="180" w:hanging="652"/>
        <w:spacing w:after="0" w:line="218" w:lineRule="auto"/>
        <w:tabs>
          <w:tab w:leader="none" w:pos="660" w:val="left"/>
        </w:tabs>
        <w:numPr>
          <w:ilvl w:val="0"/>
          <w:numId w:val="1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do not include fair value associated with awards containing performance conditions that are not considered to be probable of occurring at December 31, 2017.</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2017 are summarized below (in millions):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412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Leases, rights-of-way easements and other </w:t>
            </w:r>
            <w:r>
              <w:rPr>
                <w:rFonts w:ascii="Times New Roman" w:cs="Times New Roman" w:eastAsia="Times New Roman" w:hAnsi="Times New Roman"/>
                <w:sz w:val="25"/>
                <w:szCs w:val="25"/>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1,030</w:t>
            </w: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commitments </w:t>
            </w:r>
            <w:r>
              <w:rPr>
                <w:rFonts w:ascii="Times New Roman" w:cs="Times New Roman" w:eastAsia="Times New Roman" w:hAnsi="Times New Roman"/>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1,063</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2,093</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right="200" w:hanging="652"/>
        <w:spacing w:after="0" w:line="233" w:lineRule="auto"/>
        <w:tabs>
          <w:tab w:leader="none" w:pos="660" w:val="left"/>
        </w:tabs>
        <w:numPr>
          <w:ilvl w:val="0"/>
          <w:numId w:val="1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operating and capital leases as defined by FASB guidance, as well as obligations for rights-of-way easements. Leases are primarily for (i) railcars, (ii) land and surface rentals, (iii) office buildings, (iv) pipeline assets and (v) vehicles and trailers. We recognize expense on a straight-line basis over the life of the agreement, as applicable. Lease expense for 2017, 2016 and 2015 was $207 million, $198 million and $164 million, respectively.</w:t>
      </w:r>
    </w:p>
    <w:p>
      <w:pPr>
        <w:spacing w:after="0" w:line="198" w:lineRule="exact"/>
        <w:rPr>
          <w:rFonts w:ascii="Times New Roman" w:cs="Times New Roman" w:eastAsia="Times New Roman" w:hAnsi="Times New Roman"/>
          <w:sz w:val="25"/>
          <w:szCs w:val="25"/>
          <w:color w:val="auto"/>
          <w:vertAlign w:val="superscript"/>
        </w:rPr>
      </w:pPr>
    </w:p>
    <w:p>
      <w:pPr>
        <w:ind w:left="660" w:right="200" w:hanging="652"/>
        <w:spacing w:after="0" w:line="236" w:lineRule="auto"/>
        <w:tabs>
          <w:tab w:leader="none" w:pos="660" w:val="left"/>
        </w:tabs>
        <w:numPr>
          <w:ilvl w:val="0"/>
          <w:numId w:val="1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includes third-party storage and transportation agreements and pipeline throughput agreements, as well as approximately $760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 Expense associated with these storage, transportation and throughput agreements was approximately $197 million, $157 million and $85 million for 2017,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-1378585</wp:posOffset>
            </wp:positionV>
            <wp:extent cx="2504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420"/>
          </w:cols>
          <w:pgMar w:left="240" w:top="121" w:right="239" w:bottom="1440" w:gutter="0" w:footer="0" w:header="0"/>
        </w:sectPr>
      </w:pPr>
    </w:p>
    <w:bookmarkStart w:id="172" w:name="page173"/>
    <w:bookmarkEnd w:id="1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8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At December 31, 2017, our estimated undiscounted reserve for environmental liabilities (including liabilities related to the Line 901 incident, as discussed further below) totaled $162 million, of which $72 million was classified as short-term and $90 million was classified as long-term. At December 31, 2016, our estimated undiscounted reserve for environmental liabilities (including liabilities related to the Line 901 incident) totaled $147 million, of which $61 million was classified as short-term and $86 million was classified as long-term. The short- and long-term environmental liabilities referenced above are reflected in “Accounts payable and accrued liabilities” and “Other long-term liabilities and deferred credits,” respectively, on our Consolidated Balance Sheets. At December 31, 2017, we had recorded receivables totaling $55 million for amounts probable of recovery under insurance and from third parties under indemnification agreements, of which $29 million was reflected in “Trade accounts receivable and other receivables, net” and $26 million was reflected in “Other long-term assets, net” on our Consolidated Balance Sheet. At December 31, 2016, we had recorded $56 million of such receivables, of which $39 million was reflected in “Trade accounts receivable and other receivables, net” and $17 million was reflected in “Other long-term assets, net” on our Consolidated Balance Sheet.</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400"/>
          </w:cols>
          <w:pgMar w:left="240" w:top="122" w:right="259" w:bottom="1440" w:gutter="0" w:footer="0" w:header="0"/>
        </w:sectPr>
      </w:pPr>
    </w:p>
    <w:bookmarkStart w:id="173" w:name="page174"/>
    <w:bookmarkEnd w:id="1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crude oil release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By letter dated September 21, 2017, PHMSA issued a Final Order in this matter withdrawing one alleged violation and affirming a second. With regard to the second violation, PHMSA further determined that compliance had been achieved and included no compliance terms related to it in the Final Order. We therefore consider this matter closed.</w:t>
      </w:r>
    </w:p>
    <w:p>
      <w:pPr>
        <w:spacing w:after="0" w:line="18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400"/>
          </w:cols>
          <w:pgMar w:left="240" w:top="121" w:right="259" w:bottom="1440" w:gutter="0" w:footer="0" w:header="0"/>
        </w:sectPr>
      </w:pPr>
    </w:p>
    <w:bookmarkStart w:id="174" w:name="page175"/>
    <w:bookmarkEnd w:id="1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violated. On May 16, 2016, PAA and one of its employees were charged by a California state grand jury, pursuant to an</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indictment filed in California Superior Court, Santa Barbara County (the “May 2016 Indictment”), with alleged violations of California law in connection with the Line 901 incident. The May 2016 Indictment included a total of 46 counts. On July 28, 2016, at an arraignment hearing held in California Superior Court in Santa Barbara County, PAA pled not guilty to all counts. Since May of 2016, 33 of the criminal charges against PAA (including one felony charge) and all of the criminal charges against our employee, have been dismissed. Seven of the remaining 13 charges are misdemeanor charges relating to wildlife allegedly taken as a result of the accidental release. The remaining six counts relate to the release of crude oil or reporting of the release. PAA believes that the criminal charges (including the three felony charges) are unwarranted and that neither PAA nor any of its employees engaged in any criminal behavior at any time in connection with this accident. PAA continues to vigorously defend itself against the charges.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in late May of 2015, the United States Attorney for the Department of Justice, Central District of California, Environmental Crimes</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actions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two sub-classes of claimants and denied certification of the other proposed sub-classes. The sub-classes that have been certified include (i) commercial fishermen who landed fish in certain specified fishing blocks in the waters adjacent to Santa Barbara County or persons or businesses who resold commercial seafood landed in such areas, and (ii) individuals or businesses who were employed by or had contracts with certain designated oil platforms and related on shore processing facilities in the vicinity of the release as of the date of the release. We are appealing the oil industry class certification.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8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have refiled their complaint and we are opposing their claims. Consistent with and subject to the terms of our governing organizational documents (and to the extent applicable, insurance policies), we are indemnifying and funding the defense costs of our officers and directors in connection with this lawsuit; we are also indemnifying and funding the defense costs of our underwriters pursuant to the terms of the underwriting agreements we previously entered into with such underwriters.</w:t>
      </w:r>
    </w:p>
    <w:p>
      <w:pPr>
        <w:spacing w:after="0" w:line="19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four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121" w:right="239" w:bottom="1440" w:gutter="0" w:footer="0" w:header="0"/>
        </w:sectPr>
      </w:pPr>
    </w:p>
    <w:bookmarkStart w:id="175" w:name="page176"/>
    <w:bookmarkEnd w:id="1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Following the order dismissing the Texas Federal Court suits, a new derivative suit brought by different plaintiffs was filed in Delaware Chancery Court. The other remaining lawsuit was filed in State District Court in Harris County, Texas and subsequently dismissed by the Court.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remaining lawsuit claim that the Partnership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Taking the foregoing into account, as of December 31, 2017,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accrued such estimate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2017, we had a remaining undiscounted gross liability of $94 million related to this event, of which approximately $62 million is presented as a current liability in “Accounts payable and accrued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2017, we had collected, subject to customary reservations, $174 million out of the approximate $220 million of release costs that we believe are probable of recovery from insurance carriers, net of deductibles. Therefore, as of December 31, 2017, we have recognized a receivable of approximately $47 million for the portion of the release costs that we believe is probable of recovery from insurance, net of deductibles and amounts already collected. Of this amount, approximately $22 million is recognized as a current asset in “Trade accounts receivable and other receivables, net” on our Consolidated Balance Sheet, with the remainder in “Other long-term assets, net”. We have completed the required clean-up 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420"/>
          </w:cols>
          <w:pgMar w:left="240" w:top="121" w:right="239" w:bottom="1440" w:gutter="0" w:footer="0" w:header="0"/>
        </w:sectPr>
      </w:pPr>
    </w:p>
    <w:bookmarkStart w:id="176" w:name="page177"/>
    <w:bookmarkEnd w:id="1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Mesa to Basin Pipeline</w:t>
      </w:r>
      <w:r>
        <w:rPr>
          <w:rFonts w:ascii="Times New Roman" w:cs="Times New Roman" w:eastAsia="Times New Roman" w:hAnsi="Times New Roman"/>
          <w:sz w:val="18"/>
          <w:szCs w:val="18"/>
          <w:color w:val="auto"/>
        </w:rPr>
        <w:t>. On January 6, 2016, PHMSA issued a Notice of Probable Violation and Proposed Civil Penalty relating to an approximate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In early March 2017, PHMSA issued a final order that concluded that we followed our pipeline excavation/ditching and backfill procedures, but maintained that we failed to carry out our written damage prevention program and imposed a civil penalty of $184,300 that was promptly paid.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that we consider adequate under the circumstances to cover our operations and properties, and we self-insure certain risks, including gradual pollution and named windstorm. With respect to our insurance, our policies are subject to deductibles and retention levels that we consider reasonable and not excessive. However, such insurance does not cover every potential risk that might occur, associated with operating pipelines, terminals and other facilities and equipment, including the potential loss of significant revenues and cash flows.</w:t>
      </w:r>
    </w:p>
    <w:p>
      <w:pPr>
        <w:spacing w:after="0" w:line="189"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Additionally we self-insure certain risks including, gradual pollution and named windstorm. With respect to our insurance coverage,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00"/>
          </w:cols>
          <w:pgMar w:left="240" w:top="121" w:right="259" w:bottom="1440" w:gutter="0" w:footer="0" w:header="0"/>
        </w:sectPr>
      </w:pPr>
    </w:p>
    <w:bookmarkStart w:id="177" w:name="page178"/>
    <w:bookmarkEnd w:id="1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18—Quarterly Financial Data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40" w:type="dxa"/>
            <w:vAlign w:val="bottom"/>
          </w:tcPr>
          <w:p>
            <w:pPr>
              <w:spacing w:after="0"/>
              <w:rPr>
                <w:sz w:val="13"/>
                <w:szCs w:val="13"/>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00" w:type="dxa"/>
            <w:vAlign w:val="bottom"/>
          </w:tcPr>
          <w:p>
            <w:pPr>
              <w:spacing w:after="0"/>
              <w:rPr>
                <w:sz w:val="13"/>
                <w:szCs w:val="13"/>
                <w:color w:val="auto"/>
              </w:rPr>
            </w:pPr>
          </w:p>
        </w:tc>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Third</w:t>
            </w:r>
          </w:p>
        </w:tc>
        <w:tc>
          <w:tcPr>
            <w:tcW w:w="400" w:type="dxa"/>
            <w:vAlign w:val="bottom"/>
          </w:tcPr>
          <w:p>
            <w:pPr>
              <w:spacing w:after="0"/>
              <w:rPr>
                <w:sz w:val="13"/>
                <w:szCs w:val="13"/>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60" w:type="dxa"/>
            <w:vAlign w:val="bottom"/>
          </w:tcPr>
          <w:p>
            <w:pPr>
              <w:spacing w:after="0"/>
              <w:rPr>
                <w:sz w:val="13"/>
                <w:szCs w:val="13"/>
                <w:color w:val="auto"/>
              </w:rPr>
            </w:pPr>
          </w:p>
        </w:tc>
        <w:tc>
          <w:tcPr>
            <w:tcW w:w="100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gridSpan w:val="4"/>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(in millions, except per unit data)</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6,667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6,078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5,873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7,605</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Cash distributions per common unit </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0.55</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w w:val="94"/>
              </w:rPr>
              <w:t>2016</w:t>
            </w:r>
          </w:p>
        </w:tc>
        <w:tc>
          <w:tcPr>
            <w:tcW w:w="4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4,950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5,170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5,952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419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0.40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Cash distributions per common unit </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0.70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sum of the four quarters may not equal the total year due to rounding.</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1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Gross margin is calculated as Total revenues less (i) Purchases and related costs, (ii) Field operating costs and (iii) Depreciation and amortization.</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1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cash distributions declared and paid in the period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19—Operating Segments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121" w:right="239" w:bottom="1440" w:gutter="0" w:footer="0" w:header="0"/>
        </w:sectPr>
      </w:pPr>
    </w:p>
    <w:bookmarkStart w:id="178" w:name="page179"/>
    <w:bookmarkEnd w:id="1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Maintenance capital consists of capital expenditures for the replacement and/or refurbishment of partially or fully depreciated assets in order to maintain the operating and/or earnings capacity of our existing assets.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for each segment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00" w:type="dxa"/>
            <w:vAlign w:val="bottom"/>
          </w:tcPr>
          <w:p>
            <w:pPr>
              <w:spacing w:after="0"/>
              <w:rPr>
                <w:sz w:val="13"/>
                <w:szCs w:val="13"/>
                <w:color w:val="auto"/>
              </w:rPr>
            </w:pPr>
          </w:p>
        </w:tc>
        <w:tc>
          <w:tcPr>
            <w:tcW w:w="11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External customers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26,223</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25,351</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2,681</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00" w:type="dxa"/>
            <w:vAlign w:val="bottom"/>
          </w:tcPr>
          <w:p>
            <w:pPr>
              <w:spacing w:after="0"/>
              <w:rPr>
                <w:sz w:val="24"/>
                <w:szCs w:val="24"/>
                <w:color w:val="auto"/>
              </w:rPr>
            </w:pPr>
          </w:p>
        </w:tc>
        <w:tc>
          <w:tcPr>
            <w:tcW w:w="11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External customers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954</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20,182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7,556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F-58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9" w:name="page180"/>
    <w:bookmarkEnd w:id="1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00" w:type="dxa"/>
            <w:vAlign w:val="bottom"/>
          </w:tcPr>
          <w:p>
            <w:pPr>
              <w:spacing w:after="0"/>
              <w:rPr>
                <w:sz w:val="13"/>
                <w:szCs w:val="13"/>
                <w:color w:val="auto"/>
              </w:rPr>
            </w:pPr>
          </w:p>
        </w:tc>
        <w:tc>
          <w:tcPr>
            <w:tcW w:w="11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Supply and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External customers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24,589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51"/>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120" w:type="dxa"/>
            <w:vAlign w:val="bottom"/>
            <w:tcBorders>
              <w:bottom w:val="single" w:sz="8" w:color="CCEEFF"/>
            </w:tcBorders>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5"/>
                <w:szCs w:val="25"/>
                <w:color w:val="auto"/>
                <w:vertAlign w:val="superscript"/>
              </w:rPr>
              <w:t>(3)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7,330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22,288</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504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right="100" w:hanging="652"/>
        <w:spacing w:after="0" w:line="236" w:lineRule="auto"/>
        <w:tabs>
          <w:tab w:leader="none" w:pos="660" w:val="left"/>
        </w:tabs>
        <w:numPr>
          <w:ilvl w:val="0"/>
          <w:numId w:val="1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2 for a discussion of our related accounting policy. We have included an estimate of the revenues from these inventory exchanges in our Transportation segment revenue presented above and adjusted those revenues out such that Total revenue from External customers reconciles to our Consolidated Statements of Operations. This presentation is consistent with the information provided to our CODM.</w:t>
      </w:r>
    </w:p>
    <w:p>
      <w:pPr>
        <w:spacing w:after="0" w:line="91" w:lineRule="exact"/>
        <w:rPr>
          <w:rFonts w:ascii="Times New Roman" w:cs="Times New Roman" w:eastAsia="Times New Roman" w:hAnsi="Times New Roman"/>
          <w:sz w:val="25"/>
          <w:szCs w:val="25"/>
          <w:color w:val="auto"/>
          <w:vertAlign w:val="superscript"/>
        </w:rPr>
      </w:pPr>
    </w:p>
    <w:p>
      <w:pPr>
        <w:ind w:left="660" w:right="360" w:hanging="652"/>
        <w:spacing w:after="0" w:line="228" w:lineRule="auto"/>
        <w:tabs>
          <w:tab w:leader="none" w:pos="660" w:val="left"/>
        </w:tabs>
        <w:numPr>
          <w:ilvl w:val="0"/>
          <w:numId w:val="1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Segment revenues include intersegment amounts that are eliminated in Purchases and related costs and Field operating costs in our Consolidated Statements of Operations. Intersegment sales are conducted at posted tariff rates, rates similar to those charged to third parties or rates that we believe approximate market.</w:t>
      </w:r>
    </w:p>
    <w:p>
      <w:pPr>
        <w:spacing w:after="0" w:line="36"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1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Expenditures for acquisition capital and expansion capital, including investments in unconsolidated entities.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420"/>
          </w:cols>
          <w:pgMar w:left="240" w:top="121" w:right="239" w:bottom="1440" w:gutter="0" w:footer="0" w:header="0"/>
        </w:sectPr>
      </w:pPr>
    </w:p>
    <w:bookmarkStart w:id="180" w:name="page181"/>
    <w:bookmarkEnd w:id="1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net income attributable to PAA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2,212</w:t>
            </w:r>
          </w:p>
        </w:tc>
      </w:tr>
      <w:tr>
        <w:trPr>
          <w:trHeight w:val="270"/>
        </w:trPr>
        <w:tc>
          <w:tcPr>
            <w:tcW w:w="64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5"/>
                <w:szCs w:val="25"/>
                <w:color w:val="auto"/>
                <w:vertAlign w:val="superscript"/>
              </w:rPr>
              <w:t>(2)</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640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Gains/(losses) from derivative activities net of inventory valuation adjustments </w:t>
            </w:r>
            <w:r>
              <w:rPr>
                <w:rFonts w:ascii="Times New Roman" w:cs="Times New Roman" w:eastAsia="Times New Roman" w:hAnsi="Times New Roman"/>
                <w:sz w:val="25"/>
                <w:szCs w:val="25"/>
                <w:color w:val="auto"/>
                <w:vertAlign w:val="superscript"/>
              </w:rPr>
              <w:t>(3)</w:t>
            </w:r>
          </w:p>
        </w:tc>
        <w:tc>
          <w:tcPr>
            <w:tcW w:w="10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5"/>
                <w:szCs w:val="25"/>
                <w:color w:val="auto"/>
                <w:vertAlign w:val="superscript"/>
              </w:rPr>
              <w:t>(4)</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0"/>
        </w:trPr>
        <w:tc>
          <w:tcPr>
            <w:tcW w:w="640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5"/>
                <w:szCs w:val="25"/>
                <w:color w:val="auto"/>
                <w:vertAlign w:val="superscript"/>
              </w:rPr>
              <w:t>(5)</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5"/>
                <w:szCs w:val="25"/>
                <w:color w:val="auto"/>
                <w:vertAlign w:val="superscript"/>
              </w:rPr>
              <w:t>(6)</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640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5"/>
                <w:szCs w:val="25"/>
                <w:color w:val="auto"/>
                <w:vertAlign w:val="superscript"/>
              </w:rPr>
              <w:t>(7)</w:t>
            </w:r>
          </w:p>
        </w:tc>
        <w:tc>
          <w:tcPr>
            <w:tcW w:w="10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640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5"/>
                <w:szCs w:val="25"/>
                <w:color w:val="auto"/>
                <w:vertAlign w:val="superscript"/>
              </w:rPr>
              <w:t>(8)</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640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Significant acquisition-related expenses </w:t>
            </w:r>
            <w:r>
              <w:rPr>
                <w:rFonts w:ascii="Times New Roman" w:cs="Times New Roman" w:eastAsia="Times New Roman" w:hAnsi="Times New Roman"/>
                <w:sz w:val="25"/>
                <w:szCs w:val="25"/>
                <w:color w:val="auto"/>
                <w:vertAlign w:val="superscript"/>
              </w:rPr>
              <w:t>(9)</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income/(expense),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tax</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1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our proportionate share of the depreciation and amortization and gains or losses on significant asset sales of equity method investments.</w:t>
      </w:r>
    </w:p>
    <w:p>
      <w:pPr>
        <w:spacing w:after="0" w:line="98" w:lineRule="exact"/>
        <w:rPr>
          <w:rFonts w:ascii="Times New Roman" w:cs="Times New Roman" w:eastAsia="Times New Roman" w:hAnsi="Times New Roman"/>
          <w:sz w:val="25"/>
          <w:szCs w:val="25"/>
          <w:color w:val="auto"/>
          <w:vertAlign w:val="superscript"/>
        </w:rPr>
      </w:pPr>
    </w:p>
    <w:p>
      <w:pPr>
        <w:ind w:left="660" w:right="20" w:hanging="652"/>
        <w:spacing w:after="0" w:line="238" w:lineRule="auto"/>
        <w:tabs>
          <w:tab w:leader="none" w:pos="660" w:val="left"/>
        </w:tabs>
        <w:numPr>
          <w:ilvl w:val="0"/>
          <w:numId w:val="1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5" w:lineRule="exact"/>
        <w:rPr>
          <w:rFonts w:ascii="Times New Roman" w:cs="Times New Roman" w:eastAsia="Times New Roman" w:hAnsi="Times New Roman"/>
          <w:sz w:val="25"/>
          <w:szCs w:val="25"/>
          <w:color w:val="auto"/>
          <w:vertAlign w:val="superscript"/>
        </w:rPr>
      </w:pPr>
    </w:p>
    <w:p>
      <w:pPr>
        <w:ind w:left="660" w:right="200" w:hanging="652"/>
        <w:spacing w:after="0" w:line="236" w:lineRule="auto"/>
        <w:tabs>
          <w:tab w:leader="none" w:pos="660" w:val="left"/>
        </w:tabs>
        <w:numPr>
          <w:ilvl w:val="0"/>
          <w:numId w:val="1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420"/>
          </w:cols>
          <w:pgMar w:left="240" w:top="121" w:right="239" w:bottom="1440" w:gutter="0" w:footer="0" w:header="0"/>
        </w:sectPr>
      </w:pPr>
    </w:p>
    <w:bookmarkStart w:id="181" w:name="page182"/>
    <w:bookmarkEnd w:id="1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60" w:hanging="652"/>
        <w:spacing w:after="0" w:line="244" w:lineRule="auto"/>
        <w:tabs>
          <w:tab w:leader="none" w:pos="660" w:val="left"/>
        </w:tabs>
        <w:numPr>
          <w:ilvl w:val="0"/>
          <w:numId w:val="1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Amounts for the year prior to 2016 were not significant to segment adjusted EBITDA ($13 million for the year ended December 31, 2015).</w:t>
      </w:r>
    </w:p>
    <w:p>
      <w:pPr>
        <w:spacing w:after="0" w:line="40"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1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equity-indexed compensation expense associated with awards that will or may be settled in units.</w:t>
      </w:r>
    </w:p>
    <w:p>
      <w:pPr>
        <w:spacing w:after="0" w:line="98" w:lineRule="exact"/>
        <w:rPr>
          <w:rFonts w:ascii="Times New Roman" w:cs="Times New Roman" w:eastAsia="Times New Roman" w:hAnsi="Times New Roman"/>
          <w:sz w:val="25"/>
          <w:szCs w:val="25"/>
          <w:color w:val="auto"/>
          <w:vertAlign w:val="superscript"/>
        </w:rPr>
      </w:pPr>
    </w:p>
    <w:p>
      <w:pPr>
        <w:ind w:left="660" w:hanging="652"/>
        <w:spacing w:after="0" w:line="188" w:lineRule="auto"/>
        <w:tabs>
          <w:tab w:leader="none" w:pos="660" w:val="left"/>
        </w:tabs>
        <w:numPr>
          <w:ilvl w:val="0"/>
          <w:numId w:val="1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gains and losses from the revaluation of foreign currency transactions and monetary assets and liabilities.</w:t>
      </w:r>
    </w:p>
    <w:p>
      <w:pPr>
        <w:spacing w:after="0" w:line="98" w:lineRule="exact"/>
        <w:rPr>
          <w:rFonts w:ascii="Times New Roman" w:cs="Times New Roman" w:eastAsia="Times New Roman" w:hAnsi="Times New Roman"/>
          <w:sz w:val="25"/>
          <w:szCs w:val="25"/>
          <w:color w:val="auto"/>
          <w:vertAlign w:val="superscript"/>
        </w:rPr>
      </w:pPr>
    </w:p>
    <w:p>
      <w:pPr>
        <w:ind w:left="660" w:right="200" w:hanging="652"/>
        <w:spacing w:after="0" w:line="214" w:lineRule="auto"/>
        <w:tabs>
          <w:tab w:leader="none" w:pos="660" w:val="left"/>
        </w:tabs>
        <w:numPr>
          <w:ilvl w:val="0"/>
          <w:numId w:val="1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See Note 17 for additional information regarding the Line 901 incident.</w:t>
      </w:r>
    </w:p>
    <w:p>
      <w:pPr>
        <w:spacing w:after="0" w:line="90" w:lineRule="exact"/>
        <w:rPr>
          <w:rFonts w:ascii="Times New Roman" w:cs="Times New Roman" w:eastAsia="Times New Roman" w:hAnsi="Times New Roman"/>
          <w:sz w:val="25"/>
          <w:szCs w:val="25"/>
          <w:color w:val="auto"/>
          <w:vertAlign w:val="superscript"/>
        </w:rPr>
      </w:pPr>
    </w:p>
    <w:p>
      <w:pPr>
        <w:ind w:left="660" w:right="120" w:hanging="652"/>
        <w:spacing w:after="0" w:line="233" w:lineRule="auto"/>
        <w:tabs>
          <w:tab w:leader="none" w:pos="660" w:val="left"/>
        </w:tabs>
        <w:numPr>
          <w:ilvl w:val="0"/>
          <w:numId w:val="1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acquisition-related expenses associated with the ACC Acquisition. See Note 6 for additional discussion. An adjustment for these non-recurring expenses is included in the calculation of segment adjusted EBITDA for the year ended December 31, 2017 as our CODM does not view such expenses as integral to understanding our core segment operating performance. Acquisition-related expenses for the 2016 and 2015 periods were not significant to segment adjusted EBITDA.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in the United States and Canada. Set forth below are revenues and long-lived assets attributable to these geographic areas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21,443</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18,701</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4,451</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26,223</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23,152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Revenues are primarily attributed to each region based on where the services are provided or the product is shipped.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8"/>
                <w:szCs w:val="8"/>
                <w:b w:val="1"/>
                <w:bCs w:val="1"/>
                <w:color w:val="auto"/>
              </w:rPr>
              <w:t>(1)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17,167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16,041</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3,895</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21,346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40" w:lineRule="exact"/>
        <w:rPr>
          <w:sz w:val="20"/>
          <w:szCs w:val="20"/>
          <w:color w:val="auto"/>
        </w:rPr>
      </w:pPr>
    </w:p>
    <w:p>
      <w:pPr>
        <w:ind w:left="5540" w:right="5480" w:hanging="5532"/>
        <w:spacing w:after="0" w:line="395" w:lineRule="auto"/>
        <w:tabs>
          <w:tab w:leader="none" w:pos="652" w:val="left"/>
        </w:tabs>
        <w:numPr>
          <w:ilvl w:val="0"/>
          <w:numId w:val="1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Excludes long-term derivative assets and long-term deferred tax assets. F-61</w:t>
      </w:r>
    </w:p>
    <w:p>
      <w:pPr>
        <w:sectPr>
          <w:pgSz w:w="11900" w:h="16838" w:orient="portrait"/>
          <w:cols w:equalWidth="0" w:num="1">
            <w:col w:w="11360"/>
          </w:cols>
          <w:pgMar w:left="240" w:top="121" w:right="2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left="260" w:right="1540"/>
        <w:spacing w:after="0" w:line="268" w:lineRule="auto"/>
        <w:rPr>
          <w:sz w:val="20"/>
          <w:szCs w:val="20"/>
          <w:color w:val="auto"/>
        </w:rPr>
      </w:pPr>
      <w:r>
        <w:rPr>
          <w:rFonts w:ascii="Times New Roman" w:cs="Times New Roman" w:eastAsia="Times New Roman" w:hAnsi="Times New Roman"/>
          <w:sz w:val="18"/>
          <w:szCs w:val="18"/>
          <w:b w:val="1"/>
          <w:bCs w:val="1"/>
          <w:color w:val="auto"/>
        </w:rPr>
        <w:t>STATEMENT OF COMPUTATION OF RATIO OF EARNINGS TO FIXED CHARGES AND RATIO OF EARNINGS TO COMBINED FIXED CHARGES AND PREFERRED UNIT DISTRIBUTIONS (in millions, except ratio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5"/>
        </w:trPr>
        <w:tc>
          <w:tcPr>
            <w:tcW w:w="20" w:type="dxa"/>
            <w:vAlign w:val="bottom"/>
          </w:tcPr>
          <w:p>
            <w:pPr>
              <w:spacing w:after="0"/>
              <w:rPr>
                <w:sz w:val="22"/>
                <w:szCs w:val="22"/>
                <w:color w:val="auto"/>
              </w:rPr>
            </w:pPr>
          </w:p>
        </w:tc>
        <w:tc>
          <w:tcPr>
            <w:tcW w:w="5240" w:type="dxa"/>
            <w:vAlign w:val="bottom"/>
            <w:shd w:val="clear" w:color="auto" w:fill="CCEEFF"/>
          </w:tcPr>
          <w:p>
            <w:pPr>
              <w:ind w:left="20"/>
              <w:spacing w:after="0" w:line="254" w:lineRule="exact"/>
              <w:rPr>
                <w:sz w:val="20"/>
                <w:szCs w:val="20"/>
                <w:color w:val="auto"/>
              </w:rPr>
            </w:pPr>
            <w:r>
              <w:rPr>
                <w:rFonts w:ascii="Times New Roman" w:cs="Times New Roman" w:eastAsia="Times New Roman" w:hAnsi="Times New Roman"/>
                <w:sz w:val="18"/>
                <w:szCs w:val="18"/>
                <w:b w:val="1"/>
                <w:bCs w:val="1"/>
                <w:color w:val="auto"/>
              </w:rPr>
              <w:t xml:space="preserve">EARNINGS </w:t>
            </w:r>
            <w:r>
              <w:rPr>
                <w:rFonts w:ascii="Times New Roman" w:cs="Times New Roman" w:eastAsia="Times New Roman" w:hAnsi="Times New Roman"/>
                <w:sz w:val="25"/>
                <w:szCs w:val="25"/>
                <w:b w:val="1"/>
                <w:bCs w:val="1"/>
                <w:color w:val="auto"/>
                <w:vertAlign w:val="superscript"/>
              </w:rPr>
              <w:t>(1)</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Pre-tax income from continuing operations before noncontrolling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interests and income from equity investees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1,426</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Distributed income of equity investees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Amortization of 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FIXED CHARGES </w:t>
            </w:r>
            <w:r>
              <w:rPr>
                <w:rFonts w:ascii="Times New Roman" w:cs="Times New Roman" w:eastAsia="Times New Roman" w:hAnsi="Times New Roman"/>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expensed and capitalized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Portion of rent expense related to interest (33.33%)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2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Fixed Charges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Series A preferred unit distributions </w:t>
            </w:r>
            <w:r>
              <w:rPr>
                <w:rFonts w:ascii="Times New Roman" w:cs="Times New Roman" w:eastAsia="Times New Roman" w:hAnsi="Times New Roman"/>
                <w:sz w:val="25"/>
                <w:szCs w:val="25"/>
                <w:color w:val="auto"/>
                <w:vertAlign w:val="superscript"/>
              </w:rPr>
              <w:t>(2)(3)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Series B preferred unit distributions </w:t>
            </w:r>
            <w:r>
              <w:rPr>
                <w:rFonts w:ascii="Times New Roman" w:cs="Times New Roman" w:eastAsia="Times New Roman" w:hAnsi="Times New Roman"/>
                <w:sz w:val="25"/>
                <w:szCs w:val="25"/>
                <w:color w:val="auto"/>
                <w:vertAlign w:val="superscript"/>
              </w:rPr>
              <w:t>(2)(4)</w:t>
            </w:r>
          </w:p>
        </w:tc>
        <w:tc>
          <w:tcPr>
            <w:tcW w:w="28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5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Combined Fixed Charges and Preferred Unit Distributions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RATIO OF EARNINGS TO FIXED CHARGES </w:t>
            </w:r>
            <w:r>
              <w:rPr>
                <w:rFonts w:ascii="Times New Roman" w:cs="Times New Roman" w:eastAsia="Times New Roman" w:hAnsi="Times New Roman"/>
                <w:sz w:val="25"/>
                <w:szCs w:val="25"/>
                <w:b w:val="1"/>
                <w:bCs w:val="1"/>
                <w:color w:val="auto"/>
                <w:vertAlign w:val="superscript"/>
              </w:rPr>
              <w:t>(5)</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2.45x</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2.25x</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2.80x</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4.30x</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4.41x</w:t>
            </w:r>
          </w:p>
        </w:tc>
      </w:tr>
      <w:tr>
        <w:trPr>
          <w:trHeight w:val="324"/>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 OF EARNINGS TO COMBINED FIXED CHARGES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5"/>
        </w:trPr>
        <w:tc>
          <w:tcPr>
            <w:tcW w:w="20" w:type="dxa"/>
            <w:vAlign w:val="bottom"/>
          </w:tcPr>
          <w:p>
            <w:pPr>
              <w:spacing w:after="0"/>
              <w:rPr>
                <w:sz w:val="23"/>
                <w:szCs w:val="23"/>
                <w:color w:val="auto"/>
              </w:rPr>
            </w:pPr>
          </w:p>
        </w:tc>
        <w:tc>
          <w:tcPr>
            <w:tcW w:w="5240" w:type="dxa"/>
            <w:vAlign w:val="bottom"/>
            <w:shd w:val="clear" w:color="auto" w:fill="CCEEFF"/>
          </w:tcPr>
          <w:p>
            <w:pPr>
              <w:ind w:left="20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AND PREFERRED UNIT DISTRIBUTIONS </w:t>
            </w:r>
            <w:r>
              <w:rPr>
                <w:rFonts w:ascii="Times New Roman" w:cs="Times New Roman" w:eastAsia="Times New Roman" w:hAnsi="Times New Roman"/>
                <w:sz w:val="25"/>
                <w:szCs w:val="25"/>
                <w:b w:val="1"/>
                <w:bCs w:val="1"/>
                <w:color w:val="auto"/>
                <w:vertAlign w:val="superscript"/>
              </w:rPr>
              <w:t>(2)(5)</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1.96x</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1.86x</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7" w:lineRule="exact"/>
        <w:rPr>
          <w:sz w:val="20"/>
          <w:szCs w:val="20"/>
          <w:color w:val="auto"/>
        </w:rPr>
      </w:pPr>
    </w:p>
    <w:p>
      <w:pPr>
        <w:ind w:left="660" w:right="40" w:hanging="652"/>
        <w:spacing w:after="0" w:line="236" w:lineRule="auto"/>
        <w:tabs>
          <w:tab w:leader="none" w:pos="660"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 purposes of computing the ratio of earnings to fixed charges and the ratio of earnings to combined fixed charges and preferred unit distributions,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91" w:lineRule="exact"/>
        <w:rPr>
          <w:rFonts w:ascii="Times New Roman" w:cs="Times New Roman" w:eastAsia="Times New Roman" w:hAnsi="Times New Roman"/>
          <w:sz w:val="25"/>
          <w:szCs w:val="25"/>
          <w:color w:val="auto"/>
          <w:vertAlign w:val="superscript"/>
        </w:rPr>
      </w:pPr>
    </w:p>
    <w:p>
      <w:pPr>
        <w:ind w:left="660" w:right="580" w:hanging="652"/>
        <w:spacing w:after="0" w:line="218" w:lineRule="auto"/>
        <w:tabs>
          <w:tab w:leader="none" w:pos="660"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no preferred units were outstanding for any of the years ended December 31, 2015, 2014, 2013 and 2012, no historical ratio of earnings to combined fixed charges and preferred unit distributions are presented for those years.</w:t>
      </w:r>
    </w:p>
    <w:p>
      <w:pPr>
        <w:spacing w:after="0" w:line="131" w:lineRule="exact"/>
        <w:rPr>
          <w:rFonts w:ascii="Times New Roman" w:cs="Times New Roman" w:eastAsia="Times New Roman" w:hAnsi="Times New Roman"/>
          <w:sz w:val="25"/>
          <w:szCs w:val="25"/>
          <w:color w:val="auto"/>
          <w:vertAlign w:val="superscript"/>
        </w:rPr>
      </w:pPr>
    </w:p>
    <w:p>
      <w:pPr>
        <w:jc w:val="both"/>
        <w:ind w:left="660" w:right="360" w:hanging="652"/>
        <w:spacing w:after="0" w:line="228" w:lineRule="auto"/>
        <w:tabs>
          <w:tab w:leader="none" w:pos="660"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Distributions on our Series A convertible preferred units (the “Series A preferred units”) were paid in additional Series A preferred units for the years ended December 31, 2017 and 2016. We issued 5,413,842 and 4,646,499 additional Series A preferred units in lieu of cash distributions of $142 million and $122 million pertaining to the years ended December 31, 2017 and 2016, respectively.</w:t>
      </w:r>
    </w:p>
    <w:p>
      <w:pPr>
        <w:spacing w:after="0" w:line="89" w:lineRule="exact"/>
        <w:rPr>
          <w:rFonts w:ascii="Times New Roman" w:cs="Times New Roman" w:eastAsia="Times New Roman" w:hAnsi="Times New Roman"/>
          <w:sz w:val="25"/>
          <w:szCs w:val="25"/>
          <w:color w:val="auto"/>
          <w:vertAlign w:val="superscript"/>
        </w:rPr>
      </w:pPr>
    </w:p>
    <w:p>
      <w:pPr>
        <w:ind w:left="660" w:right="340" w:hanging="652"/>
        <w:spacing w:after="0" w:line="218" w:lineRule="auto"/>
        <w:tabs>
          <w:tab w:leader="none" w:pos="660"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Distributions on our Series B perpetual preferred units accrue and are cumulative at a rate of 6.125% per year from October 10, 2017, the date of original issue, and are payable semiannually.</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1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Ratios may not recalculate due to rounding.</w:t>
      </w:r>
    </w:p>
    <w:p>
      <w:pPr>
        <w:sectPr>
          <w:pgSz w:w="11900" w:h="16838" w:orient="portrait"/>
          <w:cols w:equalWidth="0" w:num="1">
            <w:col w:w="11420"/>
          </w:cols>
          <w:pgMar w:left="240" w:top="577" w:right="2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0" w:type="dxa"/>
            <w:vAlign w:val="bottom"/>
            <w:gridSpan w:val="3"/>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w w:val="99"/>
              </w:rPr>
              <w:t>SUBSIDIARIES OF</w:t>
            </w:r>
          </w:p>
        </w:tc>
      </w:tr>
      <w:tr>
        <w:trPr>
          <w:trHeight w:val="218"/>
        </w:trPr>
        <w:tc>
          <w:tcPr>
            <w:tcW w:w="3820" w:type="dxa"/>
            <w:vAlign w:val="bottom"/>
          </w:tcPr>
          <w:p>
            <w:pPr>
              <w:spacing w:after="0"/>
              <w:rPr>
                <w:sz w:val="18"/>
                <w:szCs w:val="18"/>
                <w:color w:val="auto"/>
              </w:rPr>
            </w:pPr>
          </w:p>
        </w:tc>
        <w:tc>
          <w:tcPr>
            <w:tcW w:w="7600" w:type="dxa"/>
            <w:vAlign w:val="bottom"/>
            <w:gridSpan w:val="3"/>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w w:val="99"/>
              </w:rPr>
              <w:t>PLAINS ALL AMERICAN PIPELINE, L.P.</w:t>
            </w:r>
          </w:p>
        </w:tc>
      </w:tr>
      <w:tr>
        <w:trPr>
          <w:trHeight w:val="236"/>
        </w:trPr>
        <w:tc>
          <w:tcPr>
            <w:tcW w:w="3820" w:type="dxa"/>
            <w:vAlign w:val="bottom"/>
          </w:tcPr>
          <w:p>
            <w:pPr>
              <w:spacing w:after="0"/>
              <w:rPr>
                <w:sz w:val="20"/>
                <w:szCs w:val="20"/>
                <w:color w:val="auto"/>
              </w:rPr>
            </w:pPr>
          </w:p>
        </w:tc>
        <w:tc>
          <w:tcPr>
            <w:tcW w:w="7600" w:type="dxa"/>
            <w:vAlign w:val="bottom"/>
            <w:gridSpan w:val="3"/>
          </w:tcPr>
          <w:p>
            <w:pPr>
              <w:jc w:val="center"/>
              <w:ind w:right="3730"/>
              <w:spacing w:after="0"/>
              <w:rPr>
                <w:sz w:val="20"/>
                <w:szCs w:val="20"/>
                <w:color w:val="auto"/>
              </w:rPr>
            </w:pPr>
            <w:r>
              <w:rPr>
                <w:rFonts w:ascii="Times New Roman" w:cs="Times New Roman" w:eastAsia="Times New Roman" w:hAnsi="Times New Roman"/>
                <w:sz w:val="18"/>
                <w:szCs w:val="18"/>
                <w:i w:val="1"/>
                <w:iCs w:val="1"/>
                <w:color w:val="auto"/>
              </w:rPr>
              <w:t>(As of 1/1/2018)</w:t>
            </w:r>
          </w:p>
        </w:tc>
      </w:tr>
      <w:tr>
        <w:trPr>
          <w:trHeight w:val="400"/>
        </w:trPr>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49"/>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Aurora Pipeline Company Ltd.</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Bakersfield Crude Terminal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Cactus II Pipeline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Eagle Ford Crude Terminal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Lone Star Trucking,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Niobrara Crude Terminal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PAA Finance Corp.</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PAA Luxembourg S.a.r.l.</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PAA Midstream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PAA Natural Gas Canada ULC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Alberta</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PAA Natural Gas Storage,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PAA Natural Gas Storage, L.P.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PAA/Vulcan Gas Storage,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Pacific Energy Group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Pacific L.A. Marine Terminal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Pacific Pipeline System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PACONO1,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PACONO3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PICSCO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Pine Prairie Energy Center,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All American Emergency Relief Fund, Inc.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Capline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Gas Solutions,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GP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LPG Services GP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LPG Services, L.P.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Marketing Bondholder,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Marketing Canada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Marketing GP Inc.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Marketing, L.P.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Midstream Luxembourg S.a.r.l.</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Midstream Superior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Pipeline, L.P.</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Pipeline Montana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Products Terminals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Rail Holdings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South Texas Gathering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Terminals North Dakota LLC</w:t>
            </w:r>
          </w:p>
        </w:tc>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Plains Towing LLC</w:t>
            </w:r>
          </w:p>
        </w:tc>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Plains West Coast Terminals LLC</w:t>
            </w:r>
          </w:p>
        </w:tc>
        <w:tc>
          <w:tcPr>
            <w:tcW w:w="3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8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76" w:right="23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4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PLPGS Empress U.S. Corporation</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PMC (Nova Scotia) Company</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 Scotia</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PNG Marketing, LLC</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PNGS GP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PPEC Bondholder, LLC</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Rancho LPG Holdings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Rocky Mountain Pipeline Montana LLC</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Rocky Mountain Pipeline System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SG Resources Mississippi, L.L.C.</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 James Rail Terminal LLC</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Sunrise Pipeline LLC</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Van Hook Crude Terminal LLC</w:t>
            </w: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4" w:right="2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333-138888, 333-162477, 333-207139, 333-207140, 333-214778 and 333-221845) and on Form S-8 (No. 333-91141, 333-74920, 333-122806, 333-141185, 333-193139, and 333-193140) of Plains All American Pipeline, L.P. of our report dated February 26, 2018 relating to the financial statements and the effectiveness of internal control over financial reporting, which appears in this Form 10-K.</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26, 2018</w:t>
      </w:r>
    </w:p>
    <w:p>
      <w:pPr>
        <w:sectPr>
          <w:pgSz w:w="11900" w:h="16838" w:orient="portrait"/>
          <w:cols w:equalWidth="0" w:num="1">
            <w:col w:w="11420"/>
          </w:cols>
          <w:pgMar w:left="240" w:top="576" w:right="2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80" w:firstLine="656"/>
        <w:spacing w:after="0" w:line="313" w:lineRule="auto"/>
        <w:tabs>
          <w:tab w:leader="none" w:pos="149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656"/>
        <w:spacing w:after="0" w:line="313" w:lineRule="auto"/>
        <w:tabs>
          <w:tab w:leader="none" w:pos="150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20" w:firstLine="656"/>
        <w:spacing w:after="0" w:line="329" w:lineRule="auto"/>
        <w:tabs>
          <w:tab w:leader="none" w:pos="149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313" w:lineRule="auto"/>
        <w:tabs>
          <w:tab w:leader="none" w:pos="150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right="40" w:firstLine="656"/>
        <w:spacing w:after="0" w:line="282" w:lineRule="auto"/>
        <w:tabs>
          <w:tab w:leader="none" w:pos="87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20" w:firstLine="656"/>
        <w:spacing w:after="0" w:line="329" w:lineRule="auto"/>
        <w:tabs>
          <w:tab w:leader="none" w:pos="14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00" w:firstLine="656"/>
        <w:spacing w:after="0" w:line="329" w:lineRule="auto"/>
        <w:tabs>
          <w:tab w:leader="none" w:pos="15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60" w:firstLine="656"/>
        <w:spacing w:after="0" w:line="282" w:lineRule="auto"/>
        <w:tabs>
          <w:tab w:leader="none" w:pos="8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80" w:firstLine="656"/>
        <w:spacing w:after="0" w:line="313" w:lineRule="auto"/>
        <w:tabs>
          <w:tab w:leader="none" w:pos="14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656"/>
        <w:spacing w:after="0" w:line="313" w:lineRule="auto"/>
        <w:tabs>
          <w:tab w:leader="none" w:pos="150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20" w:firstLine="656"/>
        <w:spacing w:after="0" w:line="329" w:lineRule="auto"/>
        <w:tabs>
          <w:tab w:leader="none" w:pos="14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313" w:lineRule="auto"/>
        <w:tabs>
          <w:tab w:leader="none" w:pos="150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right="40" w:firstLine="656"/>
        <w:spacing w:after="0" w:line="282" w:lineRule="auto"/>
        <w:tabs>
          <w:tab w:leader="none" w:pos="87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20" w:firstLine="656"/>
        <w:spacing w:after="0" w:line="329" w:lineRule="auto"/>
        <w:tabs>
          <w:tab w:leader="none" w:pos="14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00" w:firstLine="656"/>
        <w:spacing w:after="0" w:line="329" w:lineRule="auto"/>
        <w:tabs>
          <w:tab w:leader="none" w:pos="150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7" w:right="2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 L. Armstrong, Chief Executive Officer of Plains All American Pipeline, L.P. (the “Company”), hereby certify that:</w:t>
      </w:r>
    </w:p>
    <w:p>
      <w:pPr>
        <w:spacing w:after="0" w:line="252" w:lineRule="exact"/>
        <w:rPr>
          <w:sz w:val="20"/>
          <w:szCs w:val="20"/>
          <w:color w:val="auto"/>
        </w:rPr>
      </w:pPr>
    </w:p>
    <w:p>
      <w:pPr>
        <w:ind w:right="40" w:firstLine="656"/>
        <w:spacing w:after="0" w:line="313" w:lineRule="auto"/>
        <w:tabs>
          <w:tab w:leader="none" w:pos="14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2017 and filed with the Securities and Exchange Commission on the date hereof (the “Report”) by the Company fully complies with the requirements of Section 13(a) or 15(d) of the Securities Exchange Act of 1934, as amended; and</w:t>
      </w:r>
    </w:p>
    <w:p>
      <w:pPr>
        <w:spacing w:after="0" w:line="68"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February 26, 2018</w:t>
      </w:r>
    </w:p>
    <w:p>
      <w:pPr>
        <w:sectPr>
          <w:pgSz w:w="11900" w:h="16838" w:orient="portrait"/>
          <w:cols w:equalWidth="0" w:num="1">
            <w:col w:w="11420"/>
          </w:cols>
          <w:pgMar w:left="240" w:top="577" w:right="2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52" w:lineRule="exact"/>
        <w:rPr>
          <w:sz w:val="20"/>
          <w:szCs w:val="20"/>
          <w:color w:val="auto"/>
        </w:rPr>
      </w:pPr>
    </w:p>
    <w:p>
      <w:pPr>
        <w:ind w:right="40" w:firstLine="656"/>
        <w:spacing w:after="0" w:line="313" w:lineRule="auto"/>
        <w:tabs>
          <w:tab w:leader="none" w:pos="14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2017 and filed with the Securities and Exchange Commission on the date hereof (the “Report”) by the Company fully complies with the requirements of Section 13(a) or 15(d) of the Securities Exchange Act of 1934, as amended; and</w:t>
      </w:r>
    </w:p>
    <w:p>
      <w:pPr>
        <w:spacing w:after="0" w:line="68"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February 26,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A70BF7"/>
    <w:multiLevelType w:val="hybridMultilevel"/>
    <w:lvl w:ilvl="0">
      <w:lvlJc w:val="left"/>
      <w:lvlText w:val="x"/>
      <w:numFmt w:val="bullet"/>
      <w:start w:val="1"/>
    </w:lvl>
  </w:abstractNum>
  <w:abstractNum w:abstractNumId="1">
    <w:nsid w:val="1DBABF00"/>
    <w:multiLevelType w:val="hybridMultilevel"/>
    <w:lvl w:ilvl="0">
      <w:lvlJc w:val="left"/>
      <w:lvlText w:val="o"/>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1)"/>
      <w:numFmt w:val="decimal"/>
      <w:start w:val="1"/>
    </w:lvl>
  </w:abstractNum>
  <w:abstractNum w:abstractNumId="5">
    <w:nsid w:val="5DB70AE5"/>
    <w:multiLevelType w:val="hybridMultilevel"/>
    <w:lvl w:ilvl="0">
      <w:lvlJc w:val="left"/>
      <w:lvlText w:val="(%1)"/>
      <w:numFmt w:val="decimal"/>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1)"/>
      <w:numFmt w:val="decimal"/>
      <w:start w:val="1"/>
    </w:lvl>
  </w:abstractNum>
  <w:abstractNum w:abstractNumId="11">
    <w:nsid w:val="799D0247"/>
    <w:multiLevelType w:val="hybridMultilevel"/>
    <w:lvl w:ilvl="0">
      <w:lvlJc w:val="left"/>
      <w:lvlText w:val="(%1)"/>
      <w:numFmt w:val="decimal"/>
      <w:start w:val="1"/>
    </w:lvl>
  </w:abstractNum>
  <w:abstractNum w:abstractNumId="12">
    <w:nsid w:val="6B94764"/>
    <w:multiLevelType w:val="hybridMultilevel"/>
    <w:lvl w:ilvl="0">
      <w:lvlJc w:val="left"/>
      <w:lvlText w:val="(%1)"/>
      <w:numFmt w:val="decimal"/>
      <w:start w:val="1"/>
    </w:lvl>
  </w:abstractNum>
  <w:abstractNum w:abstractNumId="13">
    <w:nsid w:val="42C296BD"/>
    <w:multiLevelType w:val="hybridMultilevel"/>
    <w:lvl w:ilvl="0">
      <w:lvlJc w:val="left"/>
      <w:lvlText w:val="(%1)"/>
      <w:numFmt w:val="decimal"/>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1)"/>
      <w:numFmt w:val="lowerRoman"/>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1)"/>
      <w:numFmt w:val="decimal"/>
      <w:start w:val="1"/>
    </w:lvl>
  </w:abstractNum>
  <w:abstractNum w:abstractNumId="19">
    <w:nsid w:val="7BD3EE7B"/>
    <w:multiLevelType w:val="hybridMultilevel"/>
    <w:lvl w:ilvl="0">
      <w:lvlJc w:val="left"/>
      <w:lvlText w:val="(%1)"/>
      <w:numFmt w:val="decimal"/>
      <w:start w:val="2"/>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1)"/>
      <w:numFmt w:val="decimal"/>
      <w:start w:val="1"/>
    </w:lvl>
  </w:abstractNum>
  <w:abstractNum w:abstractNumId="24">
    <w:nsid w:val="42963E5A"/>
    <w:multiLevelType w:val="hybridMultilevel"/>
    <w:lvl w:ilvl="0">
      <w:lvlJc w:val="left"/>
      <w:lvlText w:val="(%1)"/>
      <w:numFmt w:val="lowerRoman"/>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1)"/>
      <w:numFmt w:val="lowerRoman"/>
      <w:start w:val="3"/>
    </w:lvl>
  </w:abstractNum>
  <w:abstractNum w:abstractNumId="28">
    <w:nsid w:val="3B0FD379"/>
    <w:multiLevelType w:val="hybridMultilevel"/>
    <w:lvl w:ilvl="0">
      <w:lvlJc w:val="left"/>
      <w:lvlText w:val="(%1)"/>
      <w:numFmt w:val="lowerRoman"/>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1)"/>
      <w:numFmt w:val="decimal"/>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1)"/>
      <w:numFmt w:val="decimal"/>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lowerRoman"/>
      <w:start w:val="4"/>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1)"/>
      <w:numFmt w:val="decimal"/>
      <w:start w:val="2"/>
    </w:lvl>
  </w:abstractNum>
  <w:abstractNum w:abstractNumId="53">
    <w:nsid w:val="39EE015C"/>
    <w:multiLevelType w:val="hybridMultilevel"/>
    <w:lvl w:ilvl="0">
      <w:lvlJc w:val="left"/>
      <w:lvlText w:val="(%1)"/>
      <w:numFmt w:val="decimal"/>
      <w:start w:val="10"/>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1)"/>
      <w:numFmt w:val="decimal"/>
      <w:start w:val="1"/>
    </w:lvl>
  </w:abstractNum>
  <w:abstractNum w:abstractNumId="58">
    <w:nsid w:val="26F324BA"/>
    <w:multiLevelType w:val="hybridMultilevel"/>
    <w:lvl w:ilvl="0">
      <w:lvlJc w:val="left"/>
      <w:lvlText w:val="(%1)"/>
      <w:numFmt w:val="decimal"/>
      <w:start w:val="4"/>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1)"/>
      <w:numFmt w:val="decimal"/>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1)"/>
      <w:numFmt w:val="decimal"/>
      <w:start w:val="1"/>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1)"/>
      <w:numFmt w:val="lowerRoman"/>
      <w:start w:val="5"/>
    </w:lvl>
  </w:abstractNum>
  <w:abstractNum w:abstractNumId="67">
    <w:nsid w:val="7672BD23"/>
    <w:multiLevelType w:val="hybridMultilevel"/>
    <w:lvl w:ilvl="0">
      <w:lvlJc w:val="left"/>
      <w:lvlText w:val="(%1)"/>
      <w:numFmt w:val="decimal"/>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lowerRoman"/>
      <w:start w:val="2"/>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1)"/>
      <w:numFmt w:val="decimal"/>
      <w:start w:val="3"/>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decimal"/>
      <w:start w:val="4"/>
    </w:lvl>
  </w:abstractNum>
  <w:abstractNum w:abstractNumId="76">
    <w:nsid w:val="14FCE74E"/>
    <w:multiLevelType w:val="hybridMultilevel"/>
    <w:lvl w:ilvl="0">
      <w:lvlJc w:val="left"/>
      <w:lvlText w:val="(%1)"/>
      <w:numFmt w:val="decimal"/>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1)"/>
      <w:numFmt w:val="decimal"/>
      <w:start w:val="1"/>
    </w:lvl>
  </w:abstractNum>
  <w:abstractNum w:abstractNumId="79">
    <w:nsid w:val="9DAF632"/>
    <w:multiLevelType w:val="hybridMultilevel"/>
    <w:lvl w:ilvl="0">
      <w:lvlJc w:val="left"/>
      <w:lvlText w:val="(%1)"/>
      <w:numFmt w:val="lowerLetter"/>
      <w:start w:val="1"/>
    </w:lvl>
  </w:abstractNum>
  <w:abstractNum w:abstractNumId="80">
    <w:nsid w:val="53299938"/>
    <w:multiLevelType w:val="hybridMultilevel"/>
    <w:lvl w:ilvl="0">
      <w:lvlJc w:val="left"/>
      <w:lvlText w:val="(%1)"/>
      <w:numFmt w:val="decimal"/>
      <w:start w:val="2"/>
    </w:lvl>
  </w:abstractNum>
  <w:abstractNum w:abstractNumId="81">
    <w:nsid w:val="1FBFE8E0"/>
    <w:multiLevelType w:val="hybridMultilevel"/>
    <w:lvl w:ilvl="0">
      <w:lvlJc w:val="left"/>
      <w:lvlText w:val="(%1)"/>
      <w:numFmt w:val="decimal"/>
      <w:start w:val="3"/>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1)"/>
      <w:numFmt w:val="lowerRoman"/>
      <w:start w:val="3"/>
    </w:lvl>
  </w:abstractNum>
  <w:abstractNum w:abstractNumId="90">
    <w:nsid w:val="1CA0C5FA"/>
    <w:multiLevelType w:val="hybridMultilevel"/>
    <w:lvl w:ilvl="0">
      <w:lvlJc w:val="left"/>
      <w:lvlText w:val="(%1)"/>
      <w:numFmt w:val="lowerRoman"/>
      <w:start w:val="1"/>
    </w:lvl>
  </w:abstractNum>
  <w:abstractNum w:abstractNumId="91">
    <w:nsid w:val="53584BCB"/>
    <w:multiLevelType w:val="hybridMultilevel"/>
    <w:lvl w:ilvl="0">
      <w:lvlJc w:val="left"/>
      <w:lvlText w:val="(%1)"/>
      <w:numFmt w:val="decimal"/>
      <w:start w:val="1"/>
    </w:lvl>
  </w:abstractNum>
  <w:abstractNum w:abstractNumId="92">
    <w:nsid w:val="415E286C"/>
    <w:multiLevelType w:val="hybridMultilevel"/>
    <w:lvl w:ilvl="0">
      <w:lvlJc w:val="left"/>
      <w:lvlText w:val="(%1)"/>
      <w:numFmt w:val="lowerRoman"/>
      <w:start w:val="1"/>
    </w:lvl>
  </w:abstractNum>
  <w:abstractNum w:abstractNumId="93">
    <w:nsid w:val="7C58FD05"/>
    <w:multiLevelType w:val="hybridMultilevel"/>
    <w:lvl w:ilvl="0">
      <w:lvlJc w:val="left"/>
      <w:lvlText w:val="(%1)"/>
      <w:numFmt w:val="decimal"/>
      <w:start w:val="1"/>
    </w:lvl>
  </w:abstractNum>
  <w:abstractNum w:abstractNumId="94">
    <w:nsid w:val="23D86AAC"/>
    <w:multiLevelType w:val="hybridMultilevel"/>
    <w:lvl w:ilvl="0">
      <w:lvlJc w:val="left"/>
      <w:lvlText w:val="(%1)"/>
      <w:numFmt w:val="decimal"/>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
      <w:numFmt w:val="bullet"/>
      <w:start w:val="1"/>
    </w:lvl>
  </w:abstractNum>
  <w:abstractNum w:abstractNumId="97">
    <w:nsid w:val="E7FFA2B"/>
    <w:multiLevelType w:val="hybridMultilevel"/>
    <w:lvl w:ilvl="0">
      <w:lvlJc w:val="left"/>
      <w:lvlText w:val="(%1)"/>
      <w:numFmt w:val="decimal"/>
      <w:start w:val="1"/>
    </w:lvl>
  </w:abstractNum>
  <w:abstractNum w:abstractNumId="98">
    <w:nsid w:val="3C5991AA"/>
    <w:multiLevelType w:val="hybridMultilevel"/>
    <w:lvl w:ilvl="0">
      <w:lvlJc w:val="left"/>
      <w:lvlText w:val="(%1)"/>
      <w:numFmt w:val="decimal"/>
      <w:start w:val="1"/>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2"/>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1)"/>
      <w:numFmt w:val="decimal"/>
      <w:start w:val="1"/>
    </w:lvl>
  </w:abstractNum>
  <w:abstractNum w:abstractNumId="103">
    <w:nsid w:val="6C80EC70"/>
    <w:multiLevelType w:val="hybridMultilevel"/>
    <w:lvl w:ilvl="0">
      <w:lvlJc w:val="left"/>
      <w:lvlText w:val="(%1)"/>
      <w:numFmt w:val="decimal"/>
      <w:start w:val="1"/>
    </w:lvl>
  </w:abstractNum>
  <w:abstractNum w:abstractNumId="104">
    <w:nsid w:val="379E21B5"/>
    <w:multiLevelType w:val="hybridMultilevel"/>
    <w:lvl w:ilvl="0">
      <w:lvlJc w:val="left"/>
      <w:lvlText w:val="•"/>
      <w:numFmt w:val="bullet"/>
      <w:start w:val="1"/>
    </w:lvl>
  </w:abstractNum>
  <w:abstractNum w:abstractNumId="105">
    <w:nsid w:val="69E373"/>
    <w:multiLevelType w:val="hybridMultilevel"/>
    <w:lvl w:ilvl="0">
      <w:lvlJc w:val="left"/>
      <w:lvlText w:val="(%1)"/>
      <w:numFmt w:val="decimal"/>
      <w:start w:val="1"/>
    </w:lvl>
  </w:abstractNum>
  <w:abstractNum w:abstractNumId="106">
    <w:nsid w:val="2C27173B"/>
    <w:multiLevelType w:val="hybridMultilevel"/>
    <w:lvl w:ilvl="0">
      <w:lvlJc w:val="left"/>
      <w:lvlText w:val="(%1)"/>
      <w:numFmt w:val="decimal"/>
      <w:start w:val="2"/>
    </w:lvl>
  </w:abstractNum>
  <w:abstractNum w:abstractNumId="107">
    <w:nsid w:val="4C9B0904"/>
    <w:multiLevelType w:val="hybridMultilevel"/>
    <w:lvl w:ilvl="0">
      <w:lvlJc w:val="left"/>
      <w:lvlText w:val="(%1)"/>
      <w:numFmt w:val="decimal"/>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1)"/>
      <w:numFmt w:val="decimal"/>
      <w:start w:val="1"/>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1)"/>
      <w:numFmt w:val="decimal"/>
      <w:start w:val="1"/>
    </w:lvl>
  </w:abstractNum>
  <w:abstractNum w:abstractNumId="112">
    <w:nsid w:val="3DB012B3"/>
    <w:multiLevelType w:val="hybridMultilevel"/>
    <w:lvl w:ilvl="0">
      <w:lvlJc w:val="left"/>
      <w:lvlText w:val="(%1)"/>
      <w:numFmt w:val="decimal"/>
      <w:start w:val="1"/>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1)"/>
      <w:numFmt w:val="decimal"/>
      <w:start w:val="1"/>
    </w:lvl>
  </w:abstractNum>
  <w:abstractNum w:abstractNumId="116">
    <w:nsid w:val="4F97E3E4"/>
    <w:multiLevelType w:val="hybridMultilevel"/>
    <w:lvl w:ilvl="0">
      <w:lvlJc w:val="left"/>
      <w:lvlText w:val="(%1)"/>
      <w:numFmt w:val="decimal"/>
      <w:start w:val="5"/>
    </w:lvl>
  </w:abstractNum>
  <w:abstractNum w:abstractNumId="117">
    <w:nsid w:val="53B0A9E"/>
    <w:multiLevelType w:val="hybridMultilevel"/>
    <w:lvl w:ilvl="0">
      <w:lvlJc w:val="left"/>
      <w:lvlText w:val="(%1)"/>
      <w:numFmt w:val="decimal"/>
      <w:start w:val="1"/>
    </w:lvl>
  </w:abstractNum>
  <w:abstractNum w:abstractNumId="118">
    <w:nsid w:val="34FD6B4F"/>
    <w:multiLevelType w:val="hybridMultilevel"/>
    <w:lvl w:ilvl="0">
      <w:lvlJc w:val="left"/>
      <w:lvlText w:val="(%1)"/>
      <w:numFmt w:val="decimal"/>
      <w:start w:val="1"/>
    </w:lvl>
  </w:abstractNum>
  <w:abstractNum w:abstractNumId="119">
    <w:nsid w:val="5915FF32"/>
    <w:multiLevelType w:val="hybridMultilevel"/>
    <w:lvl w:ilvl="0">
      <w:lvlJc w:val="left"/>
      <w:lvlText w:val="(%1)"/>
      <w:numFmt w:val="decimal"/>
      <w:start w:val="1"/>
    </w:lvl>
  </w:abstractNum>
  <w:abstractNum w:abstractNumId="120">
    <w:nsid w:val="56438D15"/>
    <w:multiLevelType w:val="hybridMultilevel"/>
    <w:lvl w:ilvl="0">
      <w:lvlJc w:val="left"/>
      <w:lvlText w:val="%1."/>
      <w:numFmt w:val="decimal"/>
      <w:start w:val="1"/>
    </w:lvl>
  </w:abstractNum>
  <w:abstractNum w:abstractNumId="121">
    <w:nsid w:val="519E3149"/>
    <w:multiLevelType w:val="hybridMultilevel"/>
    <w:lvl w:ilvl="0">
      <w:lvlJc w:val="left"/>
      <w:lvlText w:val="(%1)"/>
      <w:numFmt w:val="lowerLetter"/>
      <w:start w:val="1"/>
    </w:lvl>
  </w:abstractNum>
  <w:abstractNum w:abstractNumId="122">
    <w:nsid w:val="2C6E4AFD"/>
    <w:multiLevelType w:val="hybridMultilevel"/>
    <w:lvl w:ilvl="0">
      <w:lvlJc w:val="left"/>
      <w:lvlText w:val="%1."/>
      <w:numFmt w:val="decimal"/>
      <w:start w:val="5"/>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1."/>
      <w:numFmt w:val="decimal"/>
      <w:start w:val="1"/>
    </w:lvl>
  </w:abstractNum>
  <w:abstractNum w:abstractNumId="125">
    <w:nsid w:val="5046B5A9"/>
    <w:multiLevelType w:val="hybridMultilevel"/>
    <w:lvl w:ilvl="0">
      <w:lvlJc w:val="left"/>
      <w:lvlText w:val="(%1)"/>
      <w:numFmt w:val="lowerLetter"/>
      <w:start w:val="1"/>
    </w:lvl>
  </w:abstractNum>
  <w:abstractNum w:abstractNumId="126">
    <w:nsid w:val="5D888A08"/>
    <w:multiLevelType w:val="hybridMultilevel"/>
    <w:lvl w:ilvl="0">
      <w:lvlJc w:val="left"/>
      <w:lvlText w:val="%1."/>
      <w:numFmt w:val="decimal"/>
      <w:start w:val="5"/>
    </w:lvl>
  </w:abstractNum>
  <w:abstractNum w:abstractNumId="127">
    <w:nsid w:val="2A082C70"/>
    <w:multiLevelType w:val="hybridMultilevel"/>
    <w:lvl w:ilvl="0">
      <w:lvlJc w:val="left"/>
      <w:lvlText w:val="(%1)"/>
      <w:numFmt w:val="lowerLetter"/>
      <w:start w:val="1"/>
    </w:lvl>
  </w:abstractNum>
  <w:abstractNum w:abstractNumId="128">
    <w:nsid w:val="5EC6AFD4"/>
    <w:multiLevelType w:val="hybridMultilevel"/>
    <w:lvl w:ilvl="0">
      <w:lvlJc w:val="left"/>
      <w:lvlText w:val="(%1)"/>
      <w:numFmt w:val="lowerRoman"/>
      <w:start w:val="1"/>
    </w:lvl>
  </w:abstractNum>
  <w:abstractNum w:abstractNumId="129">
    <w:nsid w:val="19E21B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72" Type="http://schemas.openxmlformats.org/officeDocument/2006/relationships/image" Target="media/image63.png"/><Relationship Id="rId173" Type="http://schemas.openxmlformats.org/officeDocument/2006/relationships/image" Target="media/image64.png"/><Relationship Id="rId174" Type="http://schemas.openxmlformats.org/officeDocument/2006/relationships/image" Target="media/image65.png"/><Relationship Id="rId175" Type="http://schemas.openxmlformats.org/officeDocument/2006/relationships/image" Target="media/image66.png"/><Relationship Id="rId176" Type="http://schemas.openxmlformats.org/officeDocument/2006/relationships/image" Target="media/image67.png"/><Relationship Id="rId177" Type="http://schemas.openxmlformats.org/officeDocument/2006/relationships/image" Target="media/image68.png"/><Relationship Id="rId178" Type="http://schemas.openxmlformats.org/officeDocument/2006/relationships/image" Target="media/image69.png"/><Relationship Id="rId179" Type="http://schemas.openxmlformats.org/officeDocument/2006/relationships/image" Target="media/image70.png"/><Relationship Id="rId180" Type="http://schemas.openxmlformats.org/officeDocument/2006/relationships/image" Target="media/image71.png"/><Relationship Id="rId181" Type="http://schemas.openxmlformats.org/officeDocument/2006/relationships/image" Target="media/image72.png"/><Relationship Id="rId182" Type="http://schemas.openxmlformats.org/officeDocument/2006/relationships/image" Target="media/image73.png"/><Relationship Id="rId183" Type="http://schemas.openxmlformats.org/officeDocument/2006/relationships/image" Target="media/image74.png"/><Relationship Id="rId184" Type="http://schemas.openxmlformats.org/officeDocument/2006/relationships/image" Target="media/image75.png"/><Relationship Id="rId185" Type="http://schemas.openxmlformats.org/officeDocument/2006/relationships/image" Target="media/image76.png"/><Relationship Id="rId186" Type="http://schemas.openxmlformats.org/officeDocument/2006/relationships/image" Target="media/image77.png"/><Relationship Id="rId187" Type="http://schemas.openxmlformats.org/officeDocument/2006/relationships/image" Target="media/image78.png"/><Relationship Id="rId188" Type="http://schemas.openxmlformats.org/officeDocument/2006/relationships/image" Target="media/image79.png"/><Relationship Id="rId189" Type="http://schemas.openxmlformats.org/officeDocument/2006/relationships/image" Target="media/image80.png"/><Relationship Id="rId190" Type="http://schemas.openxmlformats.org/officeDocument/2006/relationships/image" Target="media/image81.png"/><Relationship Id="rId191" Type="http://schemas.openxmlformats.org/officeDocument/2006/relationships/image" Target="media/image82.png"/><Relationship Id="rId192" Type="http://schemas.openxmlformats.org/officeDocument/2006/relationships/image" Target="media/image83.png"/><Relationship Id="rId193" Type="http://schemas.openxmlformats.org/officeDocument/2006/relationships/image" Target="media/image84.png"/><Relationship Id="rId194" Type="http://schemas.openxmlformats.org/officeDocument/2006/relationships/image" Target="media/image85.png"/><Relationship Id="rId195" Type="http://schemas.openxmlformats.org/officeDocument/2006/relationships/image" Target="media/image86.png"/><Relationship Id="rId196" Type="http://schemas.openxmlformats.org/officeDocument/2006/relationships/image" Target="media/image87.png"/><Relationship Id="rId197" Type="http://schemas.openxmlformats.org/officeDocument/2006/relationships/image" Target="media/image88.png"/><Relationship Id="rId198" Type="http://schemas.openxmlformats.org/officeDocument/2006/relationships/image" Target="media/image89.png"/><Relationship Id="rId199" Type="http://schemas.openxmlformats.org/officeDocument/2006/relationships/image" Target="media/image90.png"/><Relationship Id="rId200" Type="http://schemas.openxmlformats.org/officeDocument/2006/relationships/image" Target="media/image91.png"/><Relationship Id="rId201" Type="http://schemas.openxmlformats.org/officeDocument/2006/relationships/image" Target="media/image92.png"/><Relationship Id="rId202" Type="http://schemas.openxmlformats.org/officeDocument/2006/relationships/image" Target="media/image93.png"/><Relationship Id="rId203" Type="http://schemas.openxmlformats.org/officeDocument/2006/relationships/image" Target="media/image94.png"/><Relationship Id="rId204" Type="http://schemas.openxmlformats.org/officeDocument/2006/relationships/image" Target="media/image95.png"/><Relationship Id="rId205" Type="http://schemas.openxmlformats.org/officeDocument/2006/relationships/image" Target="media/image96.png"/><Relationship Id="rId206" Type="http://schemas.openxmlformats.org/officeDocument/2006/relationships/image" Target="media/image97.png"/><Relationship Id="rId207" Type="http://schemas.openxmlformats.org/officeDocument/2006/relationships/image" Target="media/image98.png"/><Relationship Id="rId208" Type="http://schemas.openxmlformats.org/officeDocument/2006/relationships/image" Target="media/image99.png"/><Relationship Id="rId209" Type="http://schemas.openxmlformats.org/officeDocument/2006/relationships/image" Target="media/image100.png"/><Relationship Id="rId210" Type="http://schemas.openxmlformats.org/officeDocument/2006/relationships/image" Target="media/image101.png"/><Relationship Id="rId211" Type="http://schemas.openxmlformats.org/officeDocument/2006/relationships/image" Target="media/image102.png"/><Relationship Id="rId212" Type="http://schemas.openxmlformats.org/officeDocument/2006/relationships/image" Target="media/image103.png"/><Relationship Id="rId213" Type="http://schemas.openxmlformats.org/officeDocument/2006/relationships/image" Target="media/image104.png"/><Relationship Id="rId214" Type="http://schemas.openxmlformats.org/officeDocument/2006/relationships/image" Target="media/image105.png"/><Relationship Id="rId215" Type="http://schemas.openxmlformats.org/officeDocument/2006/relationships/image" Target="media/image106.png"/><Relationship Id="rId216" Type="http://schemas.openxmlformats.org/officeDocument/2006/relationships/image" Target="media/image107.png"/><Relationship Id="rId217" Type="http://schemas.openxmlformats.org/officeDocument/2006/relationships/image" Target="media/image108.png"/><Relationship Id="rId218" Type="http://schemas.openxmlformats.org/officeDocument/2006/relationships/image" Target="media/image109.png"/><Relationship Id="rId219" Type="http://schemas.openxmlformats.org/officeDocument/2006/relationships/image" Target="media/image110.png"/><Relationship Id="rId220" Type="http://schemas.openxmlformats.org/officeDocument/2006/relationships/image" Target="media/image111.png"/><Relationship Id="rId221" Type="http://schemas.openxmlformats.org/officeDocument/2006/relationships/image" Target="media/image112.png"/><Relationship Id="rId222" Type="http://schemas.openxmlformats.org/officeDocument/2006/relationships/image" Target="media/image113.png"/><Relationship Id="rId223" Type="http://schemas.openxmlformats.org/officeDocument/2006/relationships/image" Target="media/image114.png"/><Relationship Id="rId224" Type="http://schemas.openxmlformats.org/officeDocument/2006/relationships/image" Target="media/image115.png"/><Relationship Id="rId225" Type="http://schemas.openxmlformats.org/officeDocument/2006/relationships/image" Target="media/image116.png"/><Relationship Id="rId70" Type="http://schemas.openxmlformats.org/officeDocument/2006/relationships/hyperlink" Target="http://www.sec.gov/Archives/edgar/data/1070423/000110465912013480/a11-30215_1ex2d1.htm" TargetMode="External"/><Relationship Id="rId71" Type="http://schemas.openxmlformats.org/officeDocument/2006/relationships/hyperlink" Target="http://www.sec.gov/Archives/edgar/data/1070423/000110465913077387/a13-22640_1ex2d1.htm" TargetMode="External"/><Relationship Id="rId72" Type="http://schemas.openxmlformats.org/officeDocument/2006/relationships/hyperlink" Target="http://www.sec.gov/Archives/edgar/data/1070423/000110465916132668/a16-14925_1ex2d1.htm" TargetMode="External"/><Relationship Id="rId73" Type="http://schemas.openxmlformats.org/officeDocument/2006/relationships/hyperlink" Target="http://www.sec.gov/Archives/edgar/data/1070423/000107042317000009/paa03312017exhibit21.htm" TargetMode="External"/><Relationship Id="rId74" Type="http://schemas.openxmlformats.org/officeDocument/2006/relationships/hyperlink" Target="http://www.sec.gov/Archives/edgar/data/1070423/000107042317000009/paa03312017exhibit22.htm" TargetMode="External"/><Relationship Id="rId75" Type="http://schemas.openxmlformats.org/officeDocument/2006/relationships/hyperlink" Target="http://www.sec.gov/Archives/edgar/data/1070423/000110465917061889/a17-22685_5ex3d1.htm" TargetMode="External"/><Relationship Id="rId76" Type="http://schemas.openxmlformats.org/officeDocument/2006/relationships/hyperlink" Target="http://www.sec.gov/Archives/edgar/data/1070423/000104746904016502/a2135501zex-3_2.htm" TargetMode="External"/><Relationship Id="rId77" Type="http://schemas.openxmlformats.org/officeDocument/2006/relationships/hyperlink" Target="http://www.sec.gov/Archives/edgar/data/1070423/000110465911010359/a11-2319_1ex3d9.htm" TargetMode="External"/><Relationship Id="rId78" Type="http://schemas.openxmlformats.org/officeDocument/2006/relationships/hyperlink" Target="http://www.sec.gov/Archives/edgar/data/1070423/000110465911010359/a11-2319_1ex3d10.htm" TargetMode="External"/><Relationship Id="rId79" Type="http://schemas.openxmlformats.org/officeDocument/2006/relationships/hyperlink" Target="http://www.sec.gov/Archives/edgar/data/1070423/000110465914014322/a13-25941_1ex3d7.htm" TargetMode="External"/><Relationship Id="rId80" Type="http://schemas.openxmlformats.org/officeDocument/2006/relationships/hyperlink" Target="http://www.sec.gov/Archives/edgar/data/1070423/000110465914014322/a13-25941_1ex3d8.htm" TargetMode="External"/><Relationship Id="rId81" Type="http://schemas.openxmlformats.org/officeDocument/2006/relationships/hyperlink" Target="http://www.sec.gov/Archives/edgar/data/1070423/000104746904016502/a2135501zex-3_3.htm" TargetMode="External"/><Relationship Id="rId82" Type="http://schemas.openxmlformats.org/officeDocument/2006/relationships/hyperlink" Target="http://www.sec.gov/Archives/edgar/data/1070423/000110465914014322/a13-25941_1ex3d10.htm" TargetMode="External"/><Relationship Id="rId83" Type="http://schemas.openxmlformats.org/officeDocument/2006/relationships/hyperlink" Target="http://www.sec.gov/Archives/edgar/data/1070423/000110465916158355/a16-21841_1ex3d3.htm" TargetMode="External"/><Relationship Id="rId84" Type="http://schemas.openxmlformats.org/officeDocument/2006/relationships/hyperlink" Target="http://www.sec.gov/Archives/edgar/data/1070423/000110465916158355/a16-21841_1ex3d4.htm" TargetMode="External"/><Relationship Id="rId85" Type="http://schemas.openxmlformats.org/officeDocument/2006/relationships/hyperlink" Target="http://www.sec.gov/Archives/edgar/data/1070423/000095012907001096/h43224exv3w10.htm" TargetMode="External"/><Relationship Id="rId86" Type="http://schemas.openxmlformats.org/officeDocument/2006/relationships/hyperlink" Target="http://www.sec.gov/Archives/edgar/data/1070423/000095012907001096/h43224exv3w11.htm" TargetMode="External"/><Relationship Id="rId87" Type="http://schemas.openxmlformats.org/officeDocument/2006/relationships/hyperlink" Target="http://www.sec.gov/Archives/edgar/data/1070423/000095012908000071/h52770exv3w3.htm" TargetMode="External"/><Relationship Id="rId88" Type="http://schemas.openxmlformats.org/officeDocument/2006/relationships/hyperlink" Target="http://www.sec.gov/Archives/edgar/data/1581990/000104746913007875/a2216069zex-3_1.htm" TargetMode="External"/><Relationship Id="rId89" Type="http://schemas.openxmlformats.org/officeDocument/2006/relationships/hyperlink" Target="http://www.sec.gov/Archives/edgar/data/1581990/000110465916158356/a16-21845_1ex3d2.htm" TargetMode="External"/><Relationship Id="rId90" Type="http://schemas.openxmlformats.org/officeDocument/2006/relationships/hyperlink" Target="http://www.sec.gov/Archives/edgar/data/1581990/000104746913007875/a2216069zex-3_3.htm" TargetMode="External"/><Relationship Id="rId91" Type="http://schemas.openxmlformats.org/officeDocument/2006/relationships/hyperlink" Target="http://www.sec.gov/Archives/edgar/data/1581990/000110465917010602/a17-6893_1ex3d1.htm" TargetMode="External"/><Relationship Id="rId92" Type="http://schemas.openxmlformats.org/officeDocument/2006/relationships/hyperlink" Target="http://www.sec.gov/Archives/edgar/data/1070423/000089924302002834/dex41.txt" TargetMode="External"/><Relationship Id="rId93" Type="http://schemas.openxmlformats.org/officeDocument/2006/relationships/hyperlink" Target="http://www.sec.gov/Archives/edgar/data/1070423/000110465906034368/a06-11663_1ex4d1.htm" TargetMode="External"/><Relationship Id="rId94" Type="http://schemas.openxmlformats.org/officeDocument/2006/relationships/hyperlink" Target="http://www.sec.gov/Archives/edgar/data/1070423/000095012906009235/h40667exv4w2.htm" TargetMode="External"/><Relationship Id="rId95" Type="http://schemas.openxmlformats.org/officeDocument/2006/relationships/hyperlink" Target="http://www.sec.gov/Archives/edgar/data/1070423/000095012309041075/h67912exv4w1.htm" TargetMode="External"/><Relationship Id="rId96" Type="http://schemas.openxmlformats.org/officeDocument/2006/relationships/hyperlink" Target="http://www.sec.gov/Archives/edgar/data/1070423/000095012311002051/h78739exv4w1.htm" TargetMode="External"/><Relationship Id="rId97" Type="http://schemas.openxmlformats.org/officeDocument/2006/relationships/hyperlink" Target="http://www.sec.gov/Archives/edgar/data/1070423/000119312512132295/d321017dex41.htm" TargetMode="External"/><Relationship Id="rId98" Type="http://schemas.openxmlformats.org/officeDocument/2006/relationships/hyperlink" Target="http://www.sec.gov/Archives/edgar/data/1070423/000119312512132295/d321017dex43.htm" TargetMode="External"/><Relationship Id="rId99" Type="http://schemas.openxmlformats.org/officeDocument/2006/relationships/hyperlink" Target="http://www.sec.gov/Archives/edgar/data/1070423/000119312512499932/d453762dex41.htm" TargetMode="External"/><Relationship Id="rId100" Type="http://schemas.openxmlformats.org/officeDocument/2006/relationships/hyperlink" Target="http://www.sec.gov/Archives/edgar/data/1070423/000119312512499932/d453762dex43.htm" TargetMode="External"/><Relationship Id="rId101" Type="http://schemas.openxmlformats.org/officeDocument/2006/relationships/hyperlink" Target="http://www.sec.gov/Archives/edgar/data/1070423/000119312513336066/d581734dex41.htm" TargetMode="External"/><Relationship Id="rId102" Type="http://schemas.openxmlformats.org/officeDocument/2006/relationships/hyperlink" Target="http://www.sec.gov/Archives/edgar/data/1070423/000119312514164183/d713938dex41.htm" TargetMode="External"/><Relationship Id="rId103" Type="http://schemas.openxmlformats.org/officeDocument/2006/relationships/hyperlink" Target="http://www.sec.gov/Archives/edgar/data/1070423/000119312514338289/d787160dex41.htm" TargetMode="External"/><Relationship Id="rId104" Type="http://schemas.openxmlformats.org/officeDocument/2006/relationships/hyperlink" Target="http://www.sec.gov/Archives/edgar/data/1070423/000119312514440007/d833885dex41.htm" TargetMode="External"/><Relationship Id="rId105" Type="http://schemas.openxmlformats.org/officeDocument/2006/relationships/hyperlink" Target="http://www.sec.gov/Archives/edgar/data/1070423/000119312514440007/d833885dex43.htm" TargetMode="External"/><Relationship Id="rId106" Type="http://schemas.openxmlformats.org/officeDocument/2006/relationships/hyperlink" Target="http://www.sec.gov/Archives/edgar/data/1070423/000119312515302829/d45393dex41.htm" TargetMode="External"/><Relationship Id="rId107" Type="http://schemas.openxmlformats.org/officeDocument/2006/relationships/hyperlink" Target="http://www.sec.gov/Archives/edgar/data/1070423/000110465916159593/a16-22232_1ex4d1.htm" TargetMode="External"/><Relationship Id="rId108" Type="http://schemas.openxmlformats.org/officeDocument/2006/relationships/hyperlink" Target="http://www.sec.gov/Archives/edgar/data/1070423/000095012309050401/h68193exv4w1.htm" TargetMode="External"/><Relationship Id="rId109" Type="http://schemas.openxmlformats.org/officeDocument/2006/relationships/hyperlink" Target="http://www.sec.gov/Archives/edgar/data/1070423/000110465916093299/a16-3362_1ex4d1.htm" TargetMode="External"/><Relationship Id="rId110" Type="http://schemas.openxmlformats.org/officeDocument/2006/relationships/hyperlink" Target="http://www.sec.gov/Archives/edgar/data/1070423/000110465916158355/a16-21841_1ex10d4.htm" TargetMode="External"/><Relationship Id="rId111" Type="http://schemas.openxmlformats.org/officeDocument/2006/relationships/hyperlink" Target="http://www.sec.gov/Archives/edgar/data/1070423/000095012311080225/h84381exv10w1.htm" TargetMode="External"/><Relationship Id="rId112" Type="http://schemas.openxmlformats.org/officeDocument/2006/relationships/hyperlink" Target="http://www.sec.gov/Archives/edgar/data/1070423/000119312512293769/d374172dex102.htm" TargetMode="External"/><Relationship Id="rId113" Type="http://schemas.openxmlformats.org/officeDocument/2006/relationships/hyperlink" Target="http://www.sec.gov/Archives/edgar/data/1070423/000119312513340586/d585794dex102.htm" TargetMode="External"/><Relationship Id="rId114" Type="http://schemas.openxmlformats.org/officeDocument/2006/relationships/hyperlink" Target="http://www.sec.gov/Archives/edgar/data/1070423/000110465916140243/a16-16900_1ex10d1.htm" TargetMode="External"/><Relationship Id="rId115" Type="http://schemas.openxmlformats.org/officeDocument/2006/relationships/hyperlink" Target="http://www.sec.gov/Archives/edgar/data/1070423/000095012311080225/h84381exv10w2.htm" TargetMode="External"/><Relationship Id="rId116" Type="http://schemas.openxmlformats.org/officeDocument/2006/relationships/hyperlink" Target="http://www.sec.gov/Archives/edgar/data/1070423/000119312512293769/d374172dex101.htm" TargetMode="External"/><Relationship Id="rId117" Type="http://schemas.openxmlformats.org/officeDocument/2006/relationships/hyperlink" Target="http://www.sec.gov/Archives/edgar/data/1070423/000119312513340586/d585794dex101.htm" TargetMode="External"/><Relationship Id="rId118" Type="http://schemas.openxmlformats.org/officeDocument/2006/relationships/hyperlink" Target="http://www.sec.gov/Archives/edgar/data/1070423/000110465916140243/a16-16900_1ex10d3.htm" TargetMode="External"/><Relationship Id="rId119" Type="http://schemas.openxmlformats.org/officeDocument/2006/relationships/hyperlink" Target="http://www.sec.gov/Archives/edgar/data/1070423/000107042317000021/paa09302017exhibit106.htm" TargetMode="External"/><Relationship Id="rId120" Type="http://schemas.openxmlformats.org/officeDocument/2006/relationships/hyperlink" Target="http://www.sec.gov/Archives/edgar/data/1070423/000110465915003331/a15-2697_1ex10d1.htm" TargetMode="External"/><Relationship Id="rId121" Type="http://schemas.openxmlformats.org/officeDocument/2006/relationships/hyperlink" Target="http://www.sec.gov/Archives/edgar/data/1070423/000110465915060101/a15-17728_1ex10d1.htm" TargetMode="External"/><Relationship Id="rId122" Type="http://schemas.openxmlformats.org/officeDocument/2006/relationships/hyperlink" Target="http://www.sec.gov/Archives/edgar/data/1070423/000110465916140243/a16-16900_1ex10d2.htm" TargetMode="External"/><Relationship Id="rId123" Type="http://schemas.openxmlformats.org/officeDocument/2006/relationships/hyperlink" Target="http://www.sec.gov/Archives/edgar/data/1070423/000107042317000021/paa09302017exhibit105.htm" TargetMode="External"/><Relationship Id="rId124" Type="http://schemas.openxmlformats.org/officeDocument/2006/relationships/hyperlink" Target="http://www.sec.gov/Archives/edgar/data/1070423/0000899243-99-000614.txt" TargetMode="External"/><Relationship Id="rId125" Type="http://schemas.openxmlformats.org/officeDocument/2006/relationships/hyperlink" Target="http://www.sec.gov/Archives/edgar/data/1070423/000089924301500835/dex101.txt" TargetMode="External"/><Relationship Id="rId126" Type="http://schemas.openxmlformats.org/officeDocument/2006/relationships/hyperlink" Target="http://www.sec.gov/Archives/edgar/data/1070423/000089924301500767/dex101.txt" TargetMode="External"/><Relationship Id="rId127" Type="http://schemas.openxmlformats.org/officeDocument/2006/relationships/hyperlink" Target="http://www.sec.gov/Archives/edgar/data/1070423/000089924301500767/dex102.txt" TargetMode="External"/><Relationship Id="rId128" Type="http://schemas.openxmlformats.org/officeDocument/2006/relationships/hyperlink" Target="http://www.sec.gov/Archives/edgar/data/1070423/000089924301500767/dex103.txt" TargetMode="External"/><Relationship Id="rId129" Type="http://schemas.openxmlformats.org/officeDocument/2006/relationships/hyperlink" Target="http://www.sec.gov/Archives/edgar/data/1070423/000095012908000071/h52770exv10w2.htm" TargetMode="External"/><Relationship Id="rId130" Type="http://schemas.openxmlformats.org/officeDocument/2006/relationships/hyperlink" Target="http://www.sec.gov/Archives/edgar/data/1070423/000089924301500419/dex991.txt" TargetMode="External"/><Relationship Id="rId131" Type="http://schemas.openxmlformats.org/officeDocument/2006/relationships/hyperlink" Target="http://www.sec.gov/Archives/edgar/data/1070423/0000899243-98-001792.txt" TargetMode="External"/><Relationship Id="rId132" Type="http://schemas.openxmlformats.org/officeDocument/2006/relationships/hyperlink" Target="http://www.sec.gov/Archives/edgar/data/1070423/000110465905044729/a05-16431_1ex1d2.htm" TargetMode="External"/><Relationship Id="rId133" Type="http://schemas.openxmlformats.org/officeDocument/2006/relationships/hyperlink" Target="http://www.sec.gov/Archives/edgar/data/1481506/000095012310043694/h72693exv10w1.htm" TargetMode="External"/><Relationship Id="rId134" Type="http://schemas.openxmlformats.org/officeDocument/2006/relationships/hyperlink" Target="http://www.sec.gov/Archives/edgar/data/1481506/000095012310047963/h72950exv10w1.htm" TargetMode="External"/><Relationship Id="rId135" Type="http://schemas.openxmlformats.org/officeDocument/2006/relationships/hyperlink" Target="http://www.sec.gov/Archives/edgar/data/1070423/000110465916158355/a16-21841_1ex10d1.htm" TargetMode="External"/><Relationship Id="rId136" Type="http://schemas.openxmlformats.org/officeDocument/2006/relationships/hyperlink" Target="http://www.sec.gov/Archives/edgar/data/1070423/000110465916158355/a16-21841_1ex10d2.htm" TargetMode="External"/><Relationship Id="rId137" Type="http://schemas.openxmlformats.org/officeDocument/2006/relationships/hyperlink" Target="http://www.sec.gov/Archives/edgar/data/1070423/000089924301501783/dex101.txt" TargetMode="External"/><Relationship Id="rId138" Type="http://schemas.openxmlformats.org/officeDocument/2006/relationships/hyperlink" Target="http://www.sec.gov/Archives/edgar/data/1070423/000104746909001897/a2190434zex-10_49.htm" TargetMode="External"/><Relationship Id="rId139" Type="http://schemas.openxmlformats.org/officeDocument/2006/relationships/hyperlink" Target="http://www.sec.gov/Archives/edgar/data/1070423/000110465911010359/a11-2319_1ex10d31.htm" TargetMode="External"/><Relationship Id="rId140" Type="http://schemas.openxmlformats.org/officeDocument/2006/relationships/hyperlink" Target="http://www.sec.gov/Archives/edgar/data/1070423/000110465913078056/a13-22862_1ex10d2.htm" TargetMode="External"/><Relationship Id="rId141" Type="http://schemas.openxmlformats.org/officeDocument/2006/relationships/hyperlink" Target="http://www.sec.gov/Archives/edgar/data/1070423/000089924301501783/dex102.txt" TargetMode="External"/><Relationship Id="rId142" Type="http://schemas.openxmlformats.org/officeDocument/2006/relationships/hyperlink" Target="http://www.sec.gov/Archives/edgar/data/1070423/000104746909001897/a2190434zex-10_50.htm" TargetMode="External"/><Relationship Id="rId143" Type="http://schemas.openxmlformats.org/officeDocument/2006/relationships/hyperlink" Target="http://www.sec.gov/Archives/edgar/data/1070423/000110465911010359/a11-2319_1ex10d32.htm" TargetMode="External"/><Relationship Id="rId144" Type="http://schemas.openxmlformats.org/officeDocument/2006/relationships/hyperlink" Target="http://www.sec.gov/Archives/edgar/data/1070423/000110465913078056/a13-22862_1ex10d3.htm" TargetMode="External"/><Relationship Id="rId145" Type="http://schemas.openxmlformats.org/officeDocument/2006/relationships/hyperlink" Target="http://www.sec.gov/Archives/edgar/data/1070423/000110465916100030/a15-24557_1ex10d53.htm" TargetMode="External"/><Relationship Id="rId146" Type="http://schemas.openxmlformats.org/officeDocument/2006/relationships/hyperlink" Target="http://www.sec.gov/Archives/edgar/data/1070423/000107042316000004/paa09302016exhibit108.htm" TargetMode="External"/><Relationship Id="rId147" Type="http://schemas.openxmlformats.org/officeDocument/2006/relationships/hyperlink" Target="http://www.sec.gov/Archives/edgar/data/1070423/000107042316000004/paa09302016exhibit107.htm" TargetMode="External"/><Relationship Id="rId148" Type="http://schemas.openxmlformats.org/officeDocument/2006/relationships/hyperlink" Target="http://www.sec.gov/Archives/edgar/data/1070423/000104746905005233/a2151128zex-10_21.htm" TargetMode="External"/><Relationship Id="rId149" Type="http://schemas.openxmlformats.org/officeDocument/2006/relationships/hyperlink" Target="http://www.sec.gov/Archives/edgar/data/1070423/000107042317000003/paa201610-kexhibit1043.htm" TargetMode="External"/><Relationship Id="rId150" Type="http://schemas.openxmlformats.org/officeDocument/2006/relationships/hyperlink" Target="http://www.sec.gov/Archives/edgar/data/1070423/000095012905000593/h21990exv10w1.htm" TargetMode="External"/><Relationship Id="rId151" Type="http://schemas.openxmlformats.org/officeDocument/2006/relationships/hyperlink" Target="http://www.sec.gov/Archives/edgar/data/1070423/000104746909001897/a2190434zex-10_51.htm" TargetMode="External"/><Relationship Id="rId152" Type="http://schemas.openxmlformats.org/officeDocument/2006/relationships/hyperlink" Target="http://www.sec.gov/Archives/edgar/data/1070423/000095012901504458/h92828ex99-1.txt" TargetMode="External"/><Relationship Id="rId153" Type="http://schemas.openxmlformats.org/officeDocument/2006/relationships/hyperlink" Target="http://www.sec.gov/Archives/edgar/data/1070423/000119312503033153/dex101.htm" TargetMode="External"/><Relationship Id="rId154" Type="http://schemas.openxmlformats.org/officeDocument/2006/relationships/hyperlink" Target="http://www.sec.gov/Archives/edgar/data/1070423/000104746909001897/a2190434zex-10_52.htm" TargetMode="External"/><Relationship Id="rId155" Type="http://schemas.openxmlformats.org/officeDocument/2006/relationships/hyperlink" Target="http://www.sec.gov/Archives/edgar/data/1070423/000095012907001096/h43224exv10w45.htm" TargetMode="External"/><Relationship Id="rId156" Type="http://schemas.openxmlformats.org/officeDocument/2006/relationships/hyperlink" Target="http://www.sec.gov/Archives/edgar/data/1070423/000095012908000071/h52770exv10w1.htm" TargetMode="External"/><Relationship Id="rId157" Type="http://schemas.openxmlformats.org/officeDocument/2006/relationships/hyperlink" Target="http://www.sec.gov/Archives/edgar/data/1070423/000110465913078056/a13-22862_1ex10d4.htm" TargetMode="External"/><Relationship Id="rId158" Type="http://schemas.openxmlformats.org/officeDocument/2006/relationships/hyperlink" Target="http://www.sec.gov/Archives/edgar/data/1070423/000107042316000004/paa09302016exhibit106.htm" TargetMode="External"/><Relationship Id="rId159" Type="http://schemas.openxmlformats.org/officeDocument/2006/relationships/hyperlink" Target="http://www.sec.gov/Archives/edgar/data/1070423/000119312513390367/d597666ddef14a.htm#rom597666_10" TargetMode="External"/><Relationship Id="rId160" Type="http://schemas.openxmlformats.org/officeDocument/2006/relationships/hyperlink" Target="http://www.sec.gov/Archives/edgar/data/1070423/000110465913093006/a13-26950_1ex4d4.htm" TargetMode="External"/><Relationship Id="rId161" Type="http://schemas.openxmlformats.org/officeDocument/2006/relationships/hyperlink" Target="http://www.sec.gov/Archives/edgar/data/1481506/000095012310047963/h72950exv10w2.htm" TargetMode="External"/><Relationship Id="rId162" Type="http://schemas.openxmlformats.org/officeDocument/2006/relationships/hyperlink" Target="http://www.sec.gov/Archives/edgar/data/1070423/000110465913038884/a13-8241_1ex10d1.htm" TargetMode="External"/><Relationship Id="rId163" Type="http://schemas.openxmlformats.org/officeDocument/2006/relationships/hyperlink" Target="http://www.sec.gov/Archives/edgar/data/1070423/000107042316000004/paa09302016exhibit105.htm" TargetMode="External"/><Relationship Id="rId164" Type="http://schemas.openxmlformats.org/officeDocument/2006/relationships/hyperlink" Target="http://www.sec.gov/Archives/edgar/data/1070423/000107042317000009/paa03312017exhibit101.htm" TargetMode="External"/><Relationship Id="rId165" Type="http://schemas.openxmlformats.org/officeDocument/2006/relationships/hyperlink" Target="http://www.sec.gov/Archives/edgar/data/1070423/000107042317000009/paa03312017exhibit102.htm" TargetMode="External"/><Relationship Id="rId166" Type="http://schemas.openxmlformats.org/officeDocument/2006/relationships/hyperlink" Target="http://www.sec.gov/Archives/edgar/data/1070423/000107042317000009/paa03312017exhibit103.htm" TargetMode="External"/><Relationship Id="rId167" Type="http://schemas.openxmlformats.org/officeDocument/2006/relationships/hyperlink" Target="http://www.sec.gov/Archives/edgar/data/1581990/000158199017000009/pagp03312017exhibit101.htm" TargetMode="External"/><Relationship Id="rId168" Type="http://schemas.openxmlformats.org/officeDocument/2006/relationships/hyperlink" Target="http://www.sec.gov/Archives/edgar/data/1581990/000158199017000009/pagp03312017exhibit102.htm" TargetMode="External"/><Relationship Id="rId169" Type="http://schemas.openxmlformats.org/officeDocument/2006/relationships/hyperlink" Target="http://www.sec.gov/Archives/edgar/data/1581990/000158199017000009/pagp03312017exhibit103.htm" TargetMode="External"/><Relationship Id="rId170" Type="http://schemas.openxmlformats.org/officeDocument/2006/relationships/hyperlink" Target="http://www.sec.gov/Archives/edgar/data/1070423/000107042317000015/paa06302017exhibit104.htm" TargetMode="External"/><Relationship Id="rId171" Type="http://schemas.openxmlformats.org/officeDocument/2006/relationships/hyperlink" Target="http://www.sec.gov/Archives/edgar/data/1581990/000110465913078057/a13-22338_2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2020-01-14T12:22:34Z</dcterms:created>
  <dcterms:modified xsi:type="dcterms:W3CDTF">2020-01-14T12:22:34Z</dcterms:modified>
</cp:coreProperties>
</file>