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February 7, 2017</w:t>
      </w:r>
    </w:p>
    <w:p>
      <w:pPr>
        <w:spacing w:after="0" w:line="20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4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300"/>
          </w:cols>
          <w:pgMar w:left="240" w:top="538" w:right="359" w:bottom="0" w:gutter="0" w:footer="0" w:header="0"/>
        </w:sectPr>
      </w:pPr>
    </w:p>
    <w:p>
      <w:pPr>
        <w:spacing w:after="0" w:line="20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2940"/>
          </w:cols>
          <w:pgMar w:left="240" w:top="538" w:right="359" w:bottom="0" w:gutter="0" w:footer="0" w:header="0"/>
          <w:type w:val="continuous"/>
        </w:sectPr>
      </w:pPr>
    </w:p>
    <w:p>
      <w:pPr>
        <w:ind w:left="132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333 Clay Street, Suite 1600, Houston, Texas 77002</w:t>
      </w:r>
    </w:p>
    <w:p>
      <w:pPr>
        <w:spacing w:after="0" w:line="3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713-646-4100</w:t>
      </w:r>
    </w:p>
    <w:p>
      <w:pPr>
        <w:sectPr>
          <w:pgSz w:w="11900" w:h="16838" w:orient="portrait"/>
          <w:cols w:equalWidth="0" w:num="1">
            <w:col w:w="11300"/>
          </w:cols>
          <w:pgMar w:left="240" w:top="538" w:right="359" w:bottom="0" w:gutter="0" w:footer="0" w:header="0"/>
          <w:type w:val="continuous"/>
        </w:sectPr>
      </w:pP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and Item 7.01. Results of Operations and Financial Condition; Regulation FD Disclosure.</w:t>
      </w:r>
    </w:p>
    <w:p>
      <w:pPr>
        <w:spacing w:after="0" w:line="229" w:lineRule="exact"/>
        <w:rPr>
          <w:sz w:val="24"/>
          <w:szCs w:val="24"/>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On February 7, 2017, the Registrant issued a press release reporting its fourth quarter and full year 2016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80" w:lineRule="exact"/>
        <w:rPr>
          <w:sz w:val="24"/>
          <w:szCs w:val="24"/>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Exhibit 99.1 —  Press Release dated February 7, 2017</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4"/>
          <w:szCs w:val="24"/>
          <w:color w:val="auto"/>
        </w:rPr>
      </w:pPr>
    </w:p>
    <w:p>
      <w:pPr>
        <w:ind w:right="720" w:firstLine="28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4"/>
          <w:szCs w:val="24"/>
          <w:color w:val="auto"/>
        </w:rPr>
      </w:pPr>
    </w:p>
    <w:p>
      <w:pPr>
        <w:ind w:left="5720"/>
        <w:spacing w:after="0"/>
        <w:rPr>
          <w:sz w:val="20"/>
          <w:szCs w:val="20"/>
          <w:color w:val="auto"/>
        </w:rPr>
      </w:pPr>
      <w:r>
        <w:rPr>
          <w:rFonts w:ascii="Times New Roman" w:cs="Times New Roman" w:eastAsia="Times New Roman" w:hAnsi="Times New Roman"/>
          <w:sz w:val="18"/>
          <w:szCs w:val="18"/>
          <w:color w:val="auto"/>
        </w:rPr>
        <w:t>PLAINS ALL AMERICAN PIPELINE, L.P.</w:t>
      </w:r>
    </w:p>
    <w:p>
      <w:pPr>
        <w:spacing w:after="0" w:line="225" w:lineRule="exact"/>
        <w:rPr>
          <w:sz w:val="24"/>
          <w:szCs w:val="24"/>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PAA GP LLC, its general partner</w:t>
      </w:r>
    </w:p>
    <w:p>
      <w:pPr>
        <w:spacing w:after="0" w:line="225" w:lineRule="exact"/>
        <w:rPr>
          <w:sz w:val="24"/>
          <w:szCs w:val="24"/>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PLAINS AAP, L. P., its sole member</w:t>
      </w:r>
    </w:p>
    <w:p>
      <w:pPr>
        <w:sectPr>
          <w:pgSz w:w="11900" w:h="16838" w:orient="portrait"/>
          <w:cols w:equalWidth="0" w:num="1">
            <w:col w:w="11300"/>
          </w:cols>
          <w:pgMar w:left="240" w:top="538"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74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tc>
        <w:tc>
          <w:tcPr>
            <w:tcW w:w="40" w:type="dxa"/>
            <w:vAlign w:val="bottom"/>
          </w:tcPr>
          <w:p>
            <w:pPr>
              <w:spacing w:after="0"/>
              <w:rPr>
                <w:sz w:val="20"/>
                <w:szCs w:val="20"/>
                <w:color w:val="auto"/>
              </w:rPr>
            </w:pP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7, 2017</w:t>
            </w:r>
          </w:p>
        </w:tc>
        <w:tc>
          <w:tcPr>
            <w:tcW w:w="774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By:  /s/ Sharon Spurlin</w:t>
            </w:r>
          </w:p>
        </w:tc>
        <w:tc>
          <w:tcPr>
            <w:tcW w:w="40" w:type="dxa"/>
            <w:vAlign w:val="bottom"/>
          </w:tcPr>
          <w:p>
            <w:pPr>
              <w:spacing w:after="0"/>
              <w:rPr>
                <w:sz w:val="24"/>
                <w:szCs w:val="24"/>
                <w:color w:val="auto"/>
              </w:rPr>
            </w:pPr>
          </w:p>
        </w:tc>
      </w:tr>
      <w:tr>
        <w:trPr>
          <w:trHeight w:val="189"/>
        </w:trPr>
        <w:tc>
          <w:tcPr>
            <w:tcW w:w="36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62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4620" w:type="dxa"/>
            <w:vAlign w:val="bottom"/>
            <w:tcBorders>
              <w:top w:val="single" w:sz="8" w:color="auto"/>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Sharon Spurlin</w:t>
            </w:r>
          </w:p>
        </w:tc>
        <w:tc>
          <w:tcPr>
            <w:tcW w:w="40" w:type="dxa"/>
            <w:vAlign w:val="bottom"/>
          </w:tcPr>
          <w:p>
            <w:pPr>
              <w:spacing w:after="0"/>
              <w:rPr>
                <w:sz w:val="16"/>
                <w:szCs w:val="16"/>
                <w:color w:val="auto"/>
              </w:rPr>
            </w:pPr>
          </w:p>
        </w:tc>
      </w:tr>
      <w:tr>
        <w:trPr>
          <w:trHeight w:val="236"/>
        </w:trPr>
        <w:tc>
          <w:tcPr>
            <w:tcW w:w="36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Vice President and Treasurer</w:t>
            </w:r>
          </w:p>
        </w:tc>
        <w:tc>
          <w:tcPr>
            <w:tcW w:w="40" w:type="dxa"/>
            <w:vAlign w:val="bottom"/>
          </w:tcPr>
          <w:p>
            <w:pPr>
              <w:spacing w:after="0"/>
              <w:rPr>
                <w:sz w:val="20"/>
                <w:szCs w:val="20"/>
                <w:color w:val="auto"/>
              </w:rPr>
            </w:pPr>
          </w:p>
        </w:tc>
      </w:tr>
      <w:tr>
        <w:trPr>
          <w:trHeight w:val="432"/>
        </w:trPr>
        <w:tc>
          <w:tcPr>
            <w:tcW w:w="3680" w:type="dxa"/>
            <w:vAlign w:val="bottom"/>
          </w:tcPr>
          <w:p>
            <w:pPr>
              <w:spacing w:after="0"/>
              <w:rPr>
                <w:sz w:val="24"/>
                <w:szCs w:val="24"/>
                <w:color w:val="auto"/>
              </w:rPr>
            </w:pPr>
          </w:p>
        </w:tc>
        <w:tc>
          <w:tcPr>
            <w:tcW w:w="25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w:t>
            </w:r>
          </w:p>
        </w:tc>
        <w:tc>
          <w:tcPr>
            <w:tcW w:w="6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80" w:type="dxa"/>
            <w:vAlign w:val="bottom"/>
            <w:tcBorders>
              <w:bottom w:val="single" w:sz="8" w:color="808080"/>
            </w:tcBorders>
          </w:tcPr>
          <w:p>
            <w:pPr>
              <w:spacing w:after="0"/>
              <w:rPr>
                <w:sz w:val="11"/>
                <w:szCs w:val="11"/>
                <w:color w:val="auto"/>
              </w:rPr>
            </w:pPr>
          </w:p>
        </w:tc>
        <w:tc>
          <w:tcPr>
            <w:tcW w:w="25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6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 w:name="page3"/>
    <w:bookmarkEnd w:id="2"/>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157480</wp:posOffset>
            </wp:positionV>
            <wp:extent cx="6174740" cy="797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4740"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Plains GP Holdings Report Fourth-Quarter and Full-Year 2016 Results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PAA Also Furnishes 2017 Full-Year Guidance</w:t>
      </w:r>
    </w:p>
    <w:p>
      <w:pPr>
        <w:spacing w:after="0" w:line="229" w:lineRule="exact"/>
        <w:rPr>
          <w:sz w:val="20"/>
          <w:szCs w:val="20"/>
          <w:color w:val="auto"/>
        </w:rPr>
      </w:pPr>
    </w:p>
    <w:p>
      <w:pPr>
        <w:ind w:right="320" w:firstLine="689"/>
        <w:spacing w:after="0" w:line="282" w:lineRule="auto"/>
        <w:rPr>
          <w:sz w:val="20"/>
          <w:szCs w:val="20"/>
          <w:color w:val="auto"/>
        </w:rPr>
      </w:pPr>
      <w:r>
        <w:rPr>
          <w:rFonts w:ascii="Times New Roman" w:cs="Times New Roman" w:eastAsia="Times New Roman" w:hAnsi="Times New Roman"/>
          <w:sz w:val="18"/>
          <w:szCs w:val="18"/>
          <w:color w:val="auto"/>
        </w:rPr>
        <w:t>(Houston — February 7, 2017) Plains All American Pipeline, L.P. (NYSE: PAA) and Plains GP Holdings (NYSE: PAGP) today reported fourth-quarter and full-year 2016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Financial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GAAP Results</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Pr>
          <w:p>
            <w:pPr>
              <w:spacing w:after="0"/>
              <w:rPr>
                <w:sz w:val="12"/>
                <w:szCs w:val="12"/>
                <w:color w:val="auto"/>
              </w:rPr>
            </w:pPr>
          </w:p>
        </w:tc>
        <w:tc>
          <w:tcPr>
            <w:tcW w:w="120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Pr>
          <w:p>
            <w:pPr>
              <w:spacing w:after="0"/>
              <w:rPr>
                <w:sz w:val="12"/>
                <w:szCs w:val="12"/>
                <w:color w:val="auto"/>
              </w:rPr>
            </w:pPr>
          </w:p>
        </w:tc>
        <w:tc>
          <w:tcPr>
            <w:tcW w:w="114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PAA</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w:t>
            </w:r>
          </w:p>
        </w:tc>
        <w:tc>
          <w:tcPr>
            <w:tcW w:w="38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w:t>
            </w:r>
          </w:p>
        </w:tc>
        <w:tc>
          <w:tcPr>
            <w:tcW w:w="3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net income per common unit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0.24</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380" w:type="dxa"/>
            <w:vAlign w:val="bottom"/>
            <w:tcBorders>
              <w:right w:val="single" w:sz="8" w:color="auto"/>
            </w:tcBorders>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0.77</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weighted average common units outstanding</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399</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66%</w:t>
            </w:r>
          </w:p>
        </w:tc>
        <w:tc>
          <w:tcPr>
            <w:tcW w:w="38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Distribution per common unit declared for the period</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2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(21.4)%</w:t>
            </w:r>
          </w:p>
        </w:tc>
        <w:tc>
          <w:tcPr>
            <w:tcW w:w="3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3"/>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Non-GAAP Results </w:t>
            </w:r>
            <w:r>
              <w:rPr>
                <w:rFonts w:ascii="Times New Roman" w:cs="Times New Roman" w:eastAsia="Times New Roman" w:hAnsi="Times New Roman"/>
                <w:sz w:val="16"/>
                <w:szCs w:val="16"/>
                <w:b w:val="1"/>
                <w:bCs w:val="1"/>
                <w:color w:val="auto"/>
                <w:vertAlign w:val="superscript"/>
              </w:rPr>
              <w:t>(1)</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Pr>
          <w:p>
            <w:pPr>
              <w:spacing w:after="0"/>
              <w:rPr>
                <w:sz w:val="12"/>
                <w:szCs w:val="12"/>
                <w:color w:val="auto"/>
              </w:rPr>
            </w:pPr>
          </w:p>
        </w:tc>
        <w:tc>
          <w:tcPr>
            <w:tcW w:w="120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Pr>
          <w:p>
            <w:pPr>
              <w:spacing w:after="0"/>
              <w:rPr>
                <w:sz w:val="12"/>
                <w:szCs w:val="12"/>
                <w:color w:val="auto"/>
              </w:rPr>
            </w:pPr>
          </w:p>
        </w:tc>
        <w:tc>
          <w:tcPr>
            <w:tcW w:w="114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 attributable to PAA</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w:t>
            </w:r>
          </w:p>
        </w:tc>
        <w:tc>
          <w:tcPr>
            <w:tcW w:w="38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3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adjusted net income per common unit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0.38</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380" w:type="dxa"/>
            <w:vAlign w:val="bottom"/>
            <w:tcBorders>
              <w:right w:val="single" w:sz="8" w:color="auto"/>
            </w:tcBorders>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23"/>
                <w:szCs w:val="23"/>
                <w:b w:val="1"/>
                <w:bCs w:val="1"/>
                <w:color w:val="auto"/>
                <w:vertAlign w:val="superscript"/>
              </w:rPr>
              <w:t>(2)</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575</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380" w:type="dxa"/>
            <w:vAlign w:val="bottom"/>
            <w:tcBorders>
              <w:right w:val="single" w:sz="8" w:color="auto"/>
            </w:tcBorders>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40" w:right="180" w:hanging="332"/>
        <w:spacing w:after="0" w:line="239" w:lineRule="auto"/>
        <w:tabs>
          <w:tab w:leader="none" w:pos="328"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their reconciliation to the most directly comparable measures as reported in accordance with GAAP.</w:t>
      </w:r>
    </w:p>
    <w:p>
      <w:pPr>
        <w:ind w:left="340" w:right="360" w:hanging="332"/>
        <w:spacing w:after="0" w:line="219" w:lineRule="auto"/>
        <w:tabs>
          <w:tab w:leader="none" w:pos="328"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fourth quarter of 2016, we modified our definition of adjusted EBITDA to exclude depreciation and amortization expense associated with equity method investments. Prior period amounts have been recast to reflect this change.</w:t>
      </w:r>
    </w:p>
    <w:p>
      <w:pPr>
        <w:spacing w:after="0" w:line="200"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“PAA reported fourth-quarter 2016 adjusted EBITDA of $600 million which was essentially in line with the fourth-quarter guidance furnished last November and full-year 2016 adjusted EBITDA of $2.169 billion,” said Greg Armstrong, Chairman and CEO of Plains All American.</w:t>
      </w:r>
    </w:p>
    <w:p>
      <w:pPr>
        <w:spacing w:after="0" w:line="16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“Looking forward, we are encouraged by the significant increase in drilling and completion activities in the Permian Basin observed over the latter half of 2016 and continuing into 2017. These activity levels have increased our conviction in significant Permian Basin production growth in 2017 and beyond as we discussed on our acquisition related conference call on January 25th.”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Segment adjusted EBITDA for the fourth quarter and full year of 2016 is presented below:</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Selected Financial Data by Segment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(unaudited)</w:t>
      </w: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5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60" w:type="dxa"/>
            <w:vAlign w:val="bottom"/>
          </w:tcPr>
          <w:p>
            <w:pPr>
              <w:spacing w:after="0"/>
              <w:rPr>
                <w:sz w:val="10"/>
                <w:szCs w:val="10"/>
                <w:color w:val="auto"/>
              </w:rPr>
            </w:pPr>
          </w:p>
        </w:tc>
        <w:tc>
          <w:tcPr>
            <w:tcW w:w="1000" w:type="dxa"/>
            <w:vAlign w:val="bottom"/>
          </w:tcPr>
          <w:p>
            <w:pPr>
              <w:jc w:val="center"/>
              <w:ind w:right="64"/>
              <w:spacing w:after="0" w:line="118" w:lineRule="exact"/>
              <w:rPr>
                <w:sz w:val="20"/>
                <w:szCs w:val="20"/>
                <w:color w:val="auto"/>
              </w:rPr>
            </w:pPr>
            <w:r>
              <w:rPr>
                <w:rFonts w:ascii="Times New Roman" w:cs="Times New Roman" w:eastAsia="Times New Roman" w:hAnsi="Times New Roman"/>
                <w:sz w:val="13"/>
                <w:szCs w:val="13"/>
                <w:b w:val="1"/>
                <w:bCs w:val="1"/>
                <w:color w:val="auto"/>
              </w:rPr>
              <w:t>Supply and</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center"/>
              <w:ind w:right="66"/>
              <w:spacing w:after="0" w:line="118" w:lineRule="exact"/>
              <w:rPr>
                <w:sz w:val="20"/>
                <w:szCs w:val="20"/>
                <w:color w:val="auto"/>
              </w:rPr>
            </w:pPr>
            <w:r>
              <w:rPr>
                <w:rFonts w:ascii="Times New Roman" w:cs="Times New Roman" w:eastAsia="Times New Roman" w:hAnsi="Times New Roman"/>
                <w:sz w:val="13"/>
                <w:szCs w:val="13"/>
                <w:b w:val="1"/>
                <w:bCs w:val="1"/>
                <w:color w:val="auto"/>
              </w:rPr>
              <w:t>Supply and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30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line="188" w:lineRule="exact"/>
              <w:rPr>
                <w:sz w:val="20"/>
                <w:szCs w:val="20"/>
                <w:color w:val="auto"/>
              </w:rPr>
            </w:pPr>
            <w:r>
              <w:rPr>
                <w:rFonts w:ascii="Times New Roman" w:cs="Times New Roman" w:eastAsia="Times New Roman" w:hAnsi="Times New Roman"/>
                <w:sz w:val="18"/>
                <w:szCs w:val="18"/>
                <w:b w:val="1"/>
                <w:bCs w:val="1"/>
                <w:i w:val="1"/>
                <w:iCs w:val="1"/>
                <w:color w:val="auto"/>
              </w:rPr>
              <w:t>Percentage change in segment</w:t>
            </w: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versus 2015</w:t>
            </w:r>
          </w:p>
        </w:tc>
        <w:tc>
          <w:tcPr>
            <w:tcW w:w="120" w:type="dxa"/>
            <w:vAlign w:val="bottom"/>
          </w:tcPr>
          <w:p>
            <w:pPr>
              <w:spacing w:after="0"/>
              <w:rPr>
                <w:sz w:val="18"/>
                <w:szCs w:val="18"/>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i w:val="1"/>
                <w:iCs w:val="1"/>
                <w:color w:val="auto"/>
              </w:rPr>
              <w:t>14%</w:t>
            </w:r>
          </w:p>
        </w:tc>
        <w:tc>
          <w:tcPr>
            <w:tcW w:w="160" w:type="dxa"/>
            <w:vAlign w:val="bottom"/>
          </w:tcPr>
          <w:p>
            <w:pPr>
              <w:spacing w:after="0"/>
              <w:rPr>
                <w:sz w:val="18"/>
                <w:szCs w:val="18"/>
                <w:color w:val="auto"/>
              </w:rPr>
            </w:pPr>
          </w:p>
        </w:tc>
        <w:tc>
          <w:tcPr>
            <w:tcW w:w="130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i w:val="1"/>
                <w:iCs w:val="1"/>
                <w:color w:val="auto"/>
              </w:rPr>
              <w:t>(4)%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period</w:t>
            </w:r>
          </w:p>
        </w:tc>
        <w:tc>
          <w:tcPr>
            <w:tcW w:w="12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Borders>
              <w:right w:val="single" w:sz="8" w:color="auto"/>
            </w:tcBorders>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60" w:type="dxa"/>
            <w:vAlign w:val="bottom"/>
          </w:tcPr>
          <w:p>
            <w:pPr>
              <w:spacing w:after="0"/>
              <w:rPr>
                <w:sz w:val="10"/>
                <w:szCs w:val="10"/>
                <w:color w:val="auto"/>
              </w:rPr>
            </w:pPr>
          </w:p>
        </w:tc>
        <w:tc>
          <w:tcPr>
            <w:tcW w:w="1000" w:type="dxa"/>
            <w:vAlign w:val="bottom"/>
          </w:tcPr>
          <w:p>
            <w:pPr>
              <w:jc w:val="center"/>
              <w:ind w:right="64"/>
              <w:spacing w:after="0" w:line="118" w:lineRule="exact"/>
              <w:rPr>
                <w:sz w:val="20"/>
                <w:szCs w:val="20"/>
                <w:color w:val="auto"/>
              </w:rPr>
            </w:pPr>
            <w:r>
              <w:rPr>
                <w:rFonts w:ascii="Times New Roman" w:cs="Times New Roman" w:eastAsia="Times New Roman" w:hAnsi="Times New Roman"/>
                <w:sz w:val="13"/>
                <w:szCs w:val="13"/>
                <w:b w:val="1"/>
                <w:bCs w:val="1"/>
                <w:color w:val="auto"/>
              </w:rPr>
              <w:t>Supply and</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center"/>
              <w:ind w:right="66"/>
              <w:spacing w:after="0" w:line="118" w:lineRule="exact"/>
              <w:rPr>
                <w:sz w:val="20"/>
                <w:szCs w:val="20"/>
                <w:color w:val="auto"/>
              </w:rPr>
            </w:pPr>
            <w:r>
              <w:rPr>
                <w:rFonts w:ascii="Times New Roman" w:cs="Times New Roman" w:eastAsia="Times New Roman" w:hAnsi="Times New Roman"/>
                <w:sz w:val="13"/>
                <w:szCs w:val="13"/>
                <w:b w:val="1"/>
                <w:bCs w:val="1"/>
                <w:color w:val="auto"/>
              </w:rPr>
              <w:t>Supply and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0" w:type="dxa"/>
            <w:vAlign w:val="bottom"/>
          </w:tcPr>
          <w:p>
            <w:pPr>
              <w:spacing w:after="0"/>
              <w:rPr>
                <w:sz w:val="1"/>
                <w:szCs w:val="1"/>
                <w:color w:val="auto"/>
              </w:rPr>
            </w:pPr>
          </w:p>
        </w:tc>
      </w:tr>
      <w:tr>
        <w:trPr>
          <w:trHeight w:val="172"/>
        </w:trPr>
        <w:tc>
          <w:tcPr>
            <w:tcW w:w="28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right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17" w:right="239" w:bottom="0" w:gutter="0" w:footer="0" w:header="0"/>
        </w:sectPr>
      </w:pPr>
    </w:p>
    <w:bookmarkStart w:id="3" w:name="page4"/>
    <w:bookmarkEnd w:id="3"/>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46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1,141</w:t>
            </w:r>
          </w:p>
        </w:tc>
        <w:tc>
          <w:tcPr>
            <w:tcW w:w="5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667</w:t>
            </w:r>
          </w:p>
        </w:tc>
        <w:tc>
          <w:tcPr>
            <w:tcW w:w="5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359</w:t>
            </w:r>
          </w:p>
        </w:tc>
        <w:tc>
          <w:tcPr>
            <w:tcW w:w="6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1,056</w:t>
            </w:r>
          </w:p>
        </w:tc>
        <w:tc>
          <w:tcPr>
            <w:tcW w:w="48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588</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bottom w:val="single" w:sz="8" w:color="CCEEFF"/>
            </w:tcBorders>
            <w:vMerge w:val="restart"/>
          </w:tcPr>
          <w:p>
            <w:pPr>
              <w:spacing w:after="0" w:line="188" w:lineRule="exact"/>
              <w:rPr>
                <w:sz w:val="20"/>
                <w:szCs w:val="20"/>
                <w:color w:val="auto"/>
              </w:rPr>
            </w:pPr>
            <w:r>
              <w:rPr>
                <w:rFonts w:ascii="Times New Roman" w:cs="Times New Roman" w:eastAsia="Times New Roman" w:hAnsi="Times New Roman"/>
                <w:sz w:val="18"/>
                <w:szCs w:val="18"/>
                <w:b w:val="1"/>
                <w:bCs w:val="1"/>
                <w:i w:val="1"/>
                <w:iCs w:val="1"/>
                <w:color w:val="auto"/>
              </w:rPr>
              <w:t>Percentage change in segment</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right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8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versus 2015</w:t>
            </w:r>
          </w:p>
        </w:tc>
        <w:tc>
          <w:tcPr>
            <w:tcW w:w="460" w:type="dxa"/>
            <w:vAlign w:val="bottom"/>
          </w:tcPr>
          <w:p>
            <w:pPr>
              <w:spacing w:after="0"/>
              <w:rPr>
                <w:sz w:val="18"/>
                <w:szCs w:val="18"/>
                <w:color w:val="auto"/>
              </w:rPr>
            </w:pPr>
          </w:p>
        </w:tc>
        <w:tc>
          <w:tcPr>
            <w:tcW w:w="9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i w:val="1"/>
                <w:iCs w:val="1"/>
                <w:color w:val="auto"/>
              </w:rPr>
              <w:t>8%</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i w:val="1"/>
                <w:iCs w:val="1"/>
                <w:color w:val="auto"/>
              </w:rPr>
              <w:t>13%</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i w:val="1"/>
                <w:iCs w:val="1"/>
                <w:color w:val="auto"/>
              </w:rPr>
              <w:t>(37)%</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period</w:t>
            </w:r>
          </w:p>
        </w:tc>
        <w:tc>
          <w:tcPr>
            <w:tcW w:w="4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Borders>
              <w:right w:val="single" w:sz="8" w:color="auto"/>
            </w:tcBorders>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40" w:right="440" w:hanging="332"/>
        <w:spacing w:after="0" w:line="229" w:lineRule="auto"/>
        <w:tabs>
          <w:tab w:leader="none" w:pos="328"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fourth quarter of 2016, we modified our primary segment performance measure to segment adjusted EBITDA from segment profit. Prior period segment amounts have been recast to reflect this change. See additional discussion below.</w:t>
      </w:r>
    </w:p>
    <w:p>
      <w:pPr>
        <w:spacing w:after="0" w:line="198"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Fourth-quarter 2016 Transportation segment adjusted EBITDA increased by 4% versus comparable 2015 results. This increase was primarily driven by increased volumes and margins on certain of our Permian Basin pipelines, earnings from our 40% interest in the Saddlehorn pipeline which was placed in service in the third quarter of 2016 and lower operating expenses, partially offset by the sale of certain of our Gulf Coast pipelines in early 2016.</w:t>
      </w:r>
    </w:p>
    <w:p>
      <w:pPr>
        <w:spacing w:after="0" w:line="176"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Fourth-quarter 2016 Facilities segment adjusted EBITDA increased by 14% versus comparable 2015 results. This increase was primarily due to contributions from the Western Canada NGL assets acquired in August 2016 and contributions from ongoing projects at our Fort Saskatchewan facility as well as lower operating expenses.</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Fourth-quarter 2016 Supply and Logistics segment adjusted EBITDA decreased by 4% relative to comparable 2015 results. This decrease was primarily driven by lower volumes and margins associated with our U.S. crude oil lease gathering activities due to less favorable market conditions as a result of increased competition and lower crude oil production in certain regions.</w:t>
      </w:r>
    </w:p>
    <w:p>
      <w:pPr>
        <w:spacing w:after="0" w:line="176"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During the fourth quarter of 2016, we modified our primary segment performance measure to segment adjusted EBITDA from segment profit. Segment adjusted EBITDA forms the basis of our internal financial reporting and is the primary measure used by our Chief Operating Decision Maker (“CODM”) in assessing performance and allocating resources among our operating segments. In conjunction with this change, we modified our adjusted EBITDA metric to exclude depreciation and amortization expense associated with equity method investments. Prior period amounts have been recast to reflect this change. The 2016 fourth quarter and full year impact of this modification increased adjusted EBITDA by $13 million and $50 million, respectively, and the 2015 fourth quarter and full year impact of this modification increased adjusted EBITDA by $12 million and $45 million, respectively, within the Transportation segment.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2017 Full-Year Guidance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Full-year 2017 financial and operating guidance is presented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AND OPERATING GUIDANCE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barrel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6"/>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c>
          <w:tcPr>
            <w:tcW w:w="10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2017 vs 2016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2017 (G)</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 / -</w:t>
            </w:r>
          </w:p>
        </w:tc>
        <w:tc>
          <w:tcPr>
            <w:tcW w:w="2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Adjusted EBITDA</w:t>
            </w: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Transportation</w:t>
            </w:r>
          </w:p>
        </w:tc>
        <w:tc>
          <w:tcPr>
            <w:tcW w:w="880" w:type="dxa"/>
            <w:vAlign w:val="bottom"/>
          </w:tcPr>
          <w:p>
            <w:pPr>
              <w:jc w:val="right"/>
              <w:ind w:right="71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1,056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1,141</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1,315</w:t>
            </w: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Facilities</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588</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667</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680</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Supply and Logistics</w:t>
            </w:r>
          </w:p>
        </w:tc>
        <w:tc>
          <w:tcPr>
            <w:tcW w:w="8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568</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359</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365</w:t>
            </w: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Income/(Expense), Net</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vMerge w:val="restart"/>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23"/>
                <w:szCs w:val="23"/>
                <w:b w:val="1"/>
                <w:bCs w:val="1"/>
                <w:color w:val="auto"/>
                <w:vertAlign w:val="superscript"/>
              </w:rPr>
              <w:t>(1)</w:t>
            </w: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vMerge w:val="continue"/>
          </w:tcPr>
          <w:p>
            <w:pPr>
              <w:spacing w:after="0"/>
              <w:rPr>
                <w:sz w:val="19"/>
                <w:szCs w:val="19"/>
                <w:color w:val="auto"/>
              </w:rPr>
            </w:pPr>
          </w:p>
        </w:tc>
        <w:tc>
          <w:tcPr>
            <w:tcW w:w="880" w:type="dxa"/>
            <w:vAlign w:val="bottom"/>
          </w:tcPr>
          <w:p>
            <w:pPr>
              <w:jc w:val="right"/>
              <w:ind w:right="7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2,213</w:t>
            </w:r>
          </w:p>
        </w:tc>
        <w:tc>
          <w:tcPr>
            <w:tcW w:w="28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2,169</w:t>
            </w:r>
          </w:p>
        </w:tc>
        <w:tc>
          <w:tcPr>
            <w:tcW w:w="280" w:type="dxa"/>
            <w:vAlign w:val="bottom"/>
            <w:vMerge w:val="continue"/>
          </w:tcPr>
          <w:p>
            <w:pPr>
              <w:spacing w:after="0"/>
              <w:rPr>
                <w:sz w:val="19"/>
                <w:szCs w:val="19"/>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2,360</w:t>
            </w:r>
          </w:p>
        </w:tc>
        <w:tc>
          <w:tcPr>
            <w:tcW w:w="2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Borders>
              <w:top w:val="single" w:sz="8" w:color="CCEEFF"/>
            </w:tcBorders>
            <w:vMerge w:val="restart"/>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Interest expense, net </w:t>
            </w:r>
            <w:r>
              <w:rPr>
                <w:rFonts w:ascii="Times New Roman" w:cs="Times New Roman" w:eastAsia="Times New Roman" w:hAnsi="Times New Roman"/>
                <w:sz w:val="23"/>
                <w:szCs w:val="23"/>
                <w:color w:val="auto"/>
                <w:vertAlign w:val="superscript"/>
              </w:rPr>
              <w:t>(2)</w:t>
            </w: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60" w:type="dxa"/>
            <w:vAlign w:val="bottom"/>
            <w:vMerge w:val="continue"/>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(417)</w:t>
            </w:r>
          </w:p>
        </w:tc>
        <w:tc>
          <w:tcPr>
            <w:tcW w:w="28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(451)</w:t>
            </w:r>
          </w:p>
        </w:tc>
        <w:tc>
          <w:tcPr>
            <w:tcW w:w="28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(500)</w:t>
            </w:r>
          </w:p>
        </w:tc>
        <w:tc>
          <w:tcPr>
            <w:tcW w:w="2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Maintenance capital</w:t>
            </w:r>
          </w:p>
        </w:tc>
        <w:tc>
          <w:tcPr>
            <w:tcW w:w="8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w:t>
            </w:r>
          </w:p>
        </w:tc>
        <w:tc>
          <w:tcPr>
            <w:tcW w:w="2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vMerge w:val="restart"/>
            <w:shd w:val="clear" w:color="auto" w:fill="CCEEFF"/>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Implied DCF </w:t>
            </w:r>
            <w:r>
              <w:rPr>
                <w:rFonts w:ascii="Times New Roman" w:cs="Times New Roman" w:eastAsia="Times New Roman" w:hAnsi="Times New Roman"/>
                <w:sz w:val="23"/>
                <w:szCs w:val="23"/>
                <w:b w:val="1"/>
                <w:bCs w:val="1"/>
                <w:color w:val="auto"/>
                <w:vertAlign w:val="superscript"/>
              </w:rPr>
              <w:t>(1)</w:t>
            </w: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1,474</w:t>
            </w:r>
          </w:p>
        </w:tc>
        <w:tc>
          <w:tcPr>
            <w:tcW w:w="28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1,414</w:t>
            </w:r>
          </w:p>
        </w:tc>
        <w:tc>
          <w:tcPr>
            <w:tcW w:w="2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1,600</w:t>
            </w:r>
          </w:p>
        </w:tc>
        <w:tc>
          <w:tcPr>
            <w:tcW w:w="2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Data</w:t>
            </w: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Average Daily Volumes (MBbls/d)</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4,453</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4,637</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5,250</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Segment Adjusted EBITDA per Barrel</w:t>
            </w:r>
          </w:p>
        </w:tc>
        <w:tc>
          <w:tcPr>
            <w:tcW w:w="880" w:type="dxa"/>
            <w:vAlign w:val="bottom"/>
          </w:tcPr>
          <w:p>
            <w:pPr>
              <w:jc w:val="right"/>
              <w:ind w:right="71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0.65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0.67</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0.69</w:t>
            </w: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Facilities</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Average Capacity (MMBbls/Mo)</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126</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129</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Segment Adjusted EBITDA per Barrel</w:t>
            </w:r>
          </w:p>
        </w:tc>
        <w:tc>
          <w:tcPr>
            <w:tcW w:w="880" w:type="dxa"/>
            <w:vAlign w:val="bottom"/>
          </w:tcPr>
          <w:p>
            <w:pPr>
              <w:jc w:val="right"/>
              <w:ind w:right="71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0.39</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0.43</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0.44</w:t>
            </w: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Supply and Logistics</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Average Daily Volumes (MBbls/d)</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1,168</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1,160</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1,250</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Segment Adjusted EBITDA per Barrel</w:t>
            </w:r>
          </w:p>
        </w:tc>
        <w:tc>
          <w:tcPr>
            <w:tcW w:w="880" w:type="dxa"/>
            <w:vAlign w:val="bottom"/>
          </w:tcPr>
          <w:p>
            <w:pPr>
              <w:jc w:val="right"/>
              <w:ind w:right="71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0.85</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0.80</w:t>
            </w:r>
          </w:p>
        </w:tc>
        <w:tc>
          <w:tcPr>
            <w:tcW w:w="2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Expansion Capital</w:t>
            </w:r>
          </w:p>
        </w:tc>
        <w:tc>
          <w:tcPr>
            <w:tcW w:w="880" w:type="dxa"/>
            <w:vAlign w:val="bottom"/>
          </w:tcPr>
          <w:p>
            <w:pPr>
              <w:jc w:val="right"/>
              <w:ind w:right="7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2,170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1,405</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800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(605)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7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First Quarter Adjusted EBITDA as Percentage of Full</w:t>
            </w: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88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w:t>
            </w:r>
          </w:p>
        </w:tc>
        <w:tc>
          <w:tcPr>
            <w:tcW w:w="3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w:t>
            </w:r>
          </w:p>
        </w:tc>
        <w:tc>
          <w:tcPr>
            <w:tcW w:w="28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43" w:orient="portrait"/>
          <w:cols w:equalWidth="0" w:num="1">
            <w:col w:w="11420"/>
          </w:cols>
          <w:pgMar w:left="240" w:top="140" w:right="239"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8268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6895" cy="8890"/>
                    </a:xfrm>
                    <a:prstGeom prst="rect">
                      <a:avLst/>
                    </a:prstGeom>
                    <a:noFill/>
                  </pic:spPr>
                </pic:pic>
              </a:graphicData>
            </a:graphic>
          </wp:anchor>
        </w:drawing>
        <w:t>(G) 2017 Guidance forecasts are intended to be + / - amounts.</w:t>
      </w:r>
    </w:p>
    <w:p>
      <w:pPr>
        <w:spacing w:after="0" w:line="225" w:lineRule="exact"/>
        <w:rPr>
          <w:sz w:val="20"/>
          <w:szCs w:val="20"/>
          <w:color w:val="auto"/>
        </w:rPr>
      </w:pPr>
    </w:p>
    <w:p>
      <w:pPr>
        <w:ind w:left="340" w:right="40" w:hanging="332"/>
        <w:spacing w:after="0" w:line="243" w:lineRule="auto"/>
        <w:tabs>
          <w:tab w:leader="none" w:pos="328"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section of this release entitled “Non-GAAP Financial Measures and Selected Items Impacting Comparability” and the Financial Data Reconciliations table attached hereto for information regarding non-GAAP financial measures and, for the 2015 and 2016 periods, their reconciliation to the most directly comparable measures as reported in accordance with GAAP. We do not provide a reconciliation of non-GAAP financial measures to the equivalent GAAP financial measures on a forward-looking basis as it is impractical to forecast certain items that we have defined as “Selected Items Impacting Comparability” without unreasonable effort, due to the uncertainty and inherent difficulty of predicting the occurrence and financial impact of and the periods in which such items may be recognized. Thus, a reconciliation of non-GAAP financial measures to the equivalent GAAP financial measures could result in disclosure that could be imprecise or potentially misleading.</w:t>
      </w:r>
    </w:p>
    <w:p>
      <w:pPr>
        <w:spacing w:after="0" w:line="5" w:lineRule="exact"/>
        <w:rPr>
          <w:rFonts w:ascii="Times New Roman" w:cs="Times New Roman" w:eastAsia="Times New Roman" w:hAnsi="Times New Roman"/>
          <w:sz w:val="23"/>
          <w:szCs w:val="23"/>
          <w:color w:val="auto"/>
          <w:vertAlign w:val="superscript"/>
        </w:rPr>
      </w:pPr>
    </w:p>
    <w:p>
      <w:pPr>
        <w:ind w:left="320" w:hanging="312"/>
        <w:spacing w:after="0" w:line="196" w:lineRule="auto"/>
        <w:tabs>
          <w:tab w:leader="none" w:pos="32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certain non-cash items impacting interest expense such as amortization of debt issuance costs and terminated interest rate swaps.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w:t>
      </w:r>
    </w:p>
    <w:p>
      <w:pPr>
        <w:spacing w:after="0" w:line="229"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included at the end of this release. Information regarding PAGP’s distributions is reflected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Q4 2016</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Q3 2016</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Q4 2015</w:t>
            </w:r>
          </w:p>
        </w:tc>
      </w:tr>
      <w:tr>
        <w:trPr>
          <w:trHeight w:val="210"/>
        </w:trPr>
        <w:tc>
          <w:tcPr>
            <w:tcW w:w="650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8"/>
                <w:szCs w:val="18"/>
                <w:b w:val="1"/>
                <w:bCs w:val="1"/>
                <w:color w:val="auto"/>
              </w:rPr>
              <w:t xml:space="preserve">Distribution per Class A share declared for the period </w:t>
            </w:r>
            <w:r>
              <w:rPr>
                <w:rFonts w:ascii="Times New Roman" w:cs="Times New Roman" w:eastAsia="Times New Roman" w:hAnsi="Times New Roman"/>
                <w:sz w:val="23"/>
                <w:szCs w:val="23"/>
                <w:b w:val="1"/>
                <w:bCs w:val="1"/>
                <w:color w:val="auto"/>
                <w:vertAlign w:val="superscript"/>
              </w:rPr>
              <w:t>(1)</w:t>
            </w:r>
          </w:p>
        </w:tc>
        <w:tc>
          <w:tcPr>
            <w:tcW w:w="980" w:type="dxa"/>
            <w:vAlign w:val="bottom"/>
            <w:tcBorders>
              <w:top w:val="single" w:sz="8" w:color="auto"/>
            </w:tcBorders>
            <w:shd w:val="clear" w:color="auto" w:fill="CCEEFF"/>
          </w:tcPr>
          <w:p>
            <w:pPr>
              <w:jc w:val="right"/>
              <w:ind w:right="82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280" w:type="dxa"/>
            <w:vAlign w:val="bottom"/>
            <w:tcBorders>
              <w:top w:val="single" w:sz="8" w:color="CCEEFF"/>
            </w:tcBorders>
            <w:shd w:val="clear" w:color="auto" w:fill="CCEEFF"/>
          </w:tcPr>
          <w:p>
            <w:pPr>
              <w:spacing w:after="0"/>
              <w:rPr>
                <w:sz w:val="18"/>
                <w:szCs w:val="18"/>
                <w:color w:val="auto"/>
              </w:rPr>
            </w:pPr>
          </w:p>
        </w:tc>
      </w:tr>
      <w:tr>
        <w:trPr>
          <w:trHeight w:val="210"/>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Q4 2016 distribution percentage change from prior periods</w:t>
            </w: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w:t>
            </w:r>
          </w:p>
        </w:tc>
      </w:tr>
      <w:tr>
        <w:trPr>
          <w:trHeight w:val="20"/>
        </w:trPr>
        <w:tc>
          <w:tcPr>
            <w:tcW w:w="6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40" w:right="180" w:hanging="332"/>
        <w:spacing w:after="0" w:line="229" w:lineRule="auto"/>
        <w:tabs>
          <w:tab w:leader="none" w:pos="32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 reverse split of PAGP’s Class A shares was completed on November 15, 2016. The effect of the reverse split has been retroactively applied to all per-share amounts presented.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Conference Call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PAA and PAGP will hold a conference call at 11:00 a.m. ET on Wednesday, February 8, 2017 to discuss the following items:</w:t>
      </w:r>
    </w:p>
    <w:p>
      <w:pPr>
        <w:spacing w:after="0" w:line="225" w:lineRule="exact"/>
        <w:rPr>
          <w:sz w:val="20"/>
          <w:szCs w:val="20"/>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PAA’s fourth-quarter and full-year 2016 performance;</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operating guidance for 2017;</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update on major capital expansion projects;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 and liquidity;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 and PAGP’s outlook for the future.</w:t>
      </w:r>
    </w:p>
    <w:p>
      <w:pPr>
        <w:spacing w:after="0" w:line="207" w:lineRule="exact"/>
        <w:rPr>
          <w:sz w:val="20"/>
          <w:szCs w:val="20"/>
          <w:color w:val="auto"/>
        </w:rPr>
      </w:pPr>
    </w:p>
    <w:p>
      <w:pPr>
        <w:ind w:right="120" w:firstLine="648"/>
        <w:spacing w:after="0" w:line="313" w:lineRule="auto"/>
        <w:rPr>
          <w:sz w:val="20"/>
          <w:szCs w:val="20"/>
          <w:color w:val="auto"/>
        </w:rPr>
      </w:pPr>
      <w:r>
        <w:rPr>
          <w:rFonts w:ascii="Times New Roman" w:cs="Times New Roman" w:eastAsia="Times New Roman" w:hAnsi="Times New Roman"/>
          <w:sz w:val="17"/>
          <w:szCs w:val="17"/>
          <w:color w:val="auto"/>
        </w:rPr>
        <w:t>Prior to the conference call, PAA will furnish a current report on Form 8-K that will include material in this earnings release. A copy of the 8-K and a slide presentation for the conference call will be available at www.plainsallamerican.com, where PAA and PAGP routinely post important information.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Conference Call Webcast Instructions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To access the internet webcast of the conference call, please go to www.plainsallamerican.com, under the “Investor Relations” section of the website (Navigate to: Investor Relations / either “PAA” or “PAGP” / News &amp; Events / Quarterly Earnings). Following the live webcast, an audio replay in MP3 format will be available on the website within two hours after the end of the call and will be accessible for a period of 365 days.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 and Selected Items Impacting Comparability</w:t>
      </w:r>
    </w:p>
    <w:p>
      <w:pPr>
        <w:spacing w:after="0" w:line="229"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earnings before interest, taxes, depreciation and amortization (including our proportionate share of depreciation and amortization of unconsolidated entities) and adjusted for certain selected items impacting comparability (“adjusted EBITDA”) and implied distributable cash flow (“DCF”).</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5</w:t>
      </w:r>
    </w:p>
    <w:p>
      <w:pPr>
        <w:sectPr>
          <w:pgSz w:w="11900" w:h="16838" w:orient="portrait"/>
          <w:cols w:equalWidth="0" w:num="1">
            <w:col w:w="11420"/>
          </w:cols>
          <w:pgMar w:left="240" w:top="567" w:right="239" w:bottom="158" w:gutter="0" w:footer="0" w:header="0"/>
        </w:sectPr>
      </w:pPr>
    </w:p>
    <w:bookmarkStart w:id="5" w:name="page6"/>
    <w:bookmarkEnd w:id="5"/>
    <w:p>
      <w:pPr>
        <w:ind w:right="40"/>
        <w:spacing w:after="0" w:line="252" w:lineRule="auto"/>
        <w:rPr>
          <w:sz w:val="20"/>
          <w:szCs w:val="20"/>
          <w:color w:val="auto"/>
        </w:rPr>
      </w:pPr>
      <w:r>
        <w:rPr>
          <w:rFonts w:ascii="Times New Roman" w:cs="Times New Roman" w:eastAsia="Times New Roman" w:hAnsi="Times New Roman"/>
          <w:sz w:val="18"/>
          <w:szCs w:val="18"/>
          <w:color w:val="auto"/>
        </w:rPr>
        <w:t>management bases financial, operational, compensation and planning/budgeting decisions. We also present these and additional non-GAAP financial measures, including adjusted net income attributable to PAA and basic and diluted adjusted net income per common unit, as they are measurements that investors, rating agencies and debt holders have indicated are useful in assessing us and our results of operations. These non-GAAP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“Accounts payable and accrued liabilities” on our Consolidated Financial Statements.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9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expansion projects and numerous other factors. These types of variations are not separately identified in this release, but will be discussed, as applicable, in management’s discussion and analysis of operating results in our Annual Report on Form 10-K.</w:t>
      </w:r>
    </w:p>
    <w:p>
      <w:pPr>
        <w:spacing w:after="0" w:line="18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definition and calculation of certain non-GAAP financial measures may not be comparable to similarly-titled measures of other companies. Adjusted EBITDA, Implied DCF and other non-GAAP financial performance measures are reconciled to Net Income (the most directly comparable measure as reported in accordance with GAAP) for the historical periods presented in the tables attached to this release, and should be viewed in addition to, and not in lieu of, our Consolidated Financial Statements and notes thereto. In addition, we encourage you to visit our website at www.plainsallamerican.com (in particular the section under “Financial Information” entitled “Non-GAAP Reconciliations” within the “Investor Relations” tab), which presents a reconciliation of our commonly used non-GAAP and supplemental financial measures.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declines in the volume of crude oil, refined product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 the effects of competition; market distortions caused by producer over-commitments to new or recently constructed infrastructure projects, which impacts volumes, margins, returns and overall earnings; unanticipated changes in crude oil market structure, grade differentials and volatility (or lack thereof); environmental liabilities or events that are not covered by an indemnity, insurance or existing reserves; maintenance of our credit rating and ability to receive open credit from our suppliers and trade counterparties; fluctuations in refinery capacity in areas supplied by our mainlines and other factors affecting demand for various grades of crude oil, refined products and natural gas and resulting changes in pricing conditions or transportation throughput requirements; the occurrence of a natural disaster, catastrophe, terrorist attack (including eco-terrorist attacks) or other event, including attacks on our electronic and computer systems; failure to implement or capitalize, or delays in implementing or capitalizing, on expansion projects, whether due to permitting delays, permitting withdrawals or other factors;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the successful integration and future performance of acquired assets or businesses and the risks associated with operating in lines of business that are distinct and separate from our historical operations; the currency exchange rate of the Canadian dollar; continued creditworthiness of, and performance by, our counterparties, including financial institutions and trading companies with which we do business; inability to recognize current revenue attributable to deficiency payments received from customers who fail to ship or move more than minimum contracted volumes until the related credits expire or are used; non-utilization of our assets and facilities; increased costs, or lack of availability, of insurance; weather interference with business operations or project construction, including the impact of extreme weather events or conditions; the availability of, and our ability to consummate, acquisition or combination opportunities; the effectiveness of our risk management activities; shortages or cost increases of supplies, materials or labor; the impact of current and future laws, rulings, governmental regulations, accounting standards and statements and related interpretations; fluctuations in the debt and equity markets, including the price of our units at the time of vesting under our long-term incentive plans; risks related to the development and operation of our assets, including our ability to satisfy our contractual obligations to our customers;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and refined products, as well as in the storage of natural gas and the processing, transportation, fractionation, storage and marketing of natural gas liquids as discussed in the Partnerships’ filings with the Securities and Exchange Commission.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688"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auto"/>
        </w:rPr>
        <w:t>Page 7</w:t>
      </w:r>
    </w:p>
    <w:p>
      <w:pPr>
        <w:spacing w:after="0" w:line="225"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Plains All American Pipeline, L.P. is a publicly traded master limited partnership that owns and operates midstream energy infrastructure and provides logistics services for crude oil, NGLs,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over 4.6 million barrels per day of crude oil and NGL in its Transportation segment. PAA is headquartered in Houston, Texas. More information is available at www.plainsallamerican.com.</w:t>
      </w:r>
    </w:p>
    <w:p>
      <w:pPr>
        <w:spacing w:after="0" w:line="184"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Plains GP Holdings is a publicly traded entity that owns an indirect, non-economic controlling general partner interest in PAA and an indirect limited partner interest in PAA, one of the largest energy infrastructure and logistics companies in North America. PAGP is headquartered in Houston, Texas.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8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center"/>
              <w:ind w:left="5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20" w:type="dxa"/>
            <w:vAlign w:val="bottom"/>
            <w:gridSpan w:val="2"/>
            <w:shd w:val="clear" w:color="auto" w:fill="CCEEFF"/>
          </w:tcPr>
          <w:p>
            <w:pPr>
              <w:jc w:val="right"/>
              <w:ind w:right="68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4,996</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20,182</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17,233</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operating costs</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289</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1,182</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279</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143</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494</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19,188</w:t>
            </w: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218</w:t>
            </w: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994</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195</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(127)</w:t>
            </w: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138</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755</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w:t>
            </w: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benefit/(expense)</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127</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730</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PAA</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COMMON UNIT:</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income allocated to common unitholders — Basic</w:t>
            </w:r>
          </w:p>
        </w:tc>
        <w:tc>
          <w:tcPr>
            <w:tcW w:w="1220" w:type="dxa"/>
            <w:vAlign w:val="bottom"/>
            <w:gridSpan w:val="2"/>
          </w:tcPr>
          <w:p>
            <w:pPr>
              <w:jc w:val="right"/>
              <w:ind w:right="68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0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tcPr>
          <w:p>
            <w:pPr>
              <w:spacing w:after="0"/>
              <w:rPr>
                <w:sz w:val="18"/>
                <w:szCs w:val="18"/>
                <w:color w:val="auto"/>
              </w:rPr>
            </w:pP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200</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 weighted average common units outstanding</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660</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464</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Basic net income per common unit</w:t>
            </w:r>
          </w:p>
        </w:tc>
        <w:tc>
          <w:tcPr>
            <w:tcW w:w="1220" w:type="dxa"/>
            <w:vAlign w:val="bottom"/>
            <w:gridSpan w:val="2"/>
          </w:tcPr>
          <w:p>
            <w:pPr>
              <w:jc w:val="right"/>
              <w:ind w:right="68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0.14</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0.24</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0.43</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income allocated to common unitholders — Diluted</w:t>
            </w:r>
          </w:p>
        </w:tc>
        <w:tc>
          <w:tcPr>
            <w:tcW w:w="1220" w:type="dxa"/>
            <w:vAlign w:val="bottom"/>
            <w:gridSpan w:val="2"/>
          </w:tcPr>
          <w:p>
            <w:pPr>
              <w:jc w:val="right"/>
              <w:ind w:right="68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0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tcPr>
          <w:p>
            <w:pPr>
              <w:spacing w:after="0"/>
              <w:rPr>
                <w:sz w:val="18"/>
                <w:szCs w:val="18"/>
                <w:color w:val="auto"/>
              </w:rPr>
            </w:pP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200</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 weighted average common units outstanding</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662</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466</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Diluted net income per common unit</w:t>
            </w:r>
          </w:p>
        </w:tc>
        <w:tc>
          <w:tcPr>
            <w:tcW w:w="1220" w:type="dxa"/>
            <w:vAlign w:val="bottom"/>
            <w:gridSpan w:val="2"/>
          </w:tcPr>
          <w:p>
            <w:pPr>
              <w:jc w:val="right"/>
              <w:ind w:right="68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0.14</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0.24</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0.43</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0.77</w:t>
            </w:r>
          </w:p>
        </w:tc>
        <w:tc>
          <w:tcPr>
            <w:tcW w:w="0" w:type="dxa"/>
            <w:vAlign w:val="bottom"/>
          </w:tcPr>
          <w:p>
            <w:pPr>
              <w:spacing w:after="0"/>
              <w:rPr>
                <w:sz w:val="1"/>
                <w:szCs w:val="1"/>
                <w:color w:val="auto"/>
              </w:rPr>
            </w:pPr>
          </w:p>
        </w:tc>
      </w:tr>
      <w:tr>
        <w:trPr>
          <w:trHeight w:val="20"/>
        </w:trPr>
        <w:tc>
          <w:tcPr>
            <w:tcW w:w="46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NON-GAAP ADJUSTED RESULTS</w:t>
            </w: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62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millions, except per unit data)</w:t>
            </w:r>
          </w:p>
        </w:tc>
        <w:tc>
          <w:tcPr>
            <w:tcW w:w="1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center"/>
              <w:ind w:left="5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attributable to PAA</w:t>
            </w:r>
          </w:p>
        </w:tc>
        <w:tc>
          <w:tcPr>
            <w:tcW w:w="1220" w:type="dxa"/>
            <w:vAlign w:val="bottom"/>
            <w:gridSpan w:val="2"/>
            <w:shd w:val="clear" w:color="auto" w:fill="CCEEFF"/>
          </w:tcPr>
          <w:p>
            <w:pPr>
              <w:jc w:val="right"/>
              <w:ind w:right="68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278</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304</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1,062</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adjusted net income per common unit</w:t>
            </w:r>
          </w:p>
        </w:tc>
        <w:tc>
          <w:tcPr>
            <w:tcW w:w="1220" w:type="dxa"/>
            <w:vAlign w:val="bottom"/>
            <w:gridSpan w:val="2"/>
            <w:shd w:val="clear" w:color="auto" w:fill="CCEEFF"/>
          </w:tcPr>
          <w:p>
            <w:pPr>
              <w:jc w:val="right"/>
              <w:ind w:right="68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0.37</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0.38</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1.14</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20" w:type="dxa"/>
            <w:vAlign w:val="bottom"/>
            <w:gridSpan w:val="2"/>
            <w:shd w:val="clear" w:color="auto" w:fill="CCEEFF"/>
          </w:tcPr>
          <w:p>
            <w:pPr>
              <w:jc w:val="right"/>
              <w:ind w:right="68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600</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575</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2,169</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121" w:right="239" w:bottom="0" w:gutter="0" w:footer="0" w:header="0"/>
        </w:sectPr>
      </w:pPr>
    </w:p>
    <w:p>
      <w:pPr>
        <w:jc w:val="center"/>
        <w:ind w:right="-19"/>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7" w:name="page8"/>
    <w:bookmarkEnd w:id="7"/>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BALANCE SHEET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00" w:type="dxa"/>
            <w:vAlign w:val="bottom"/>
            <w:tcBorders>
              <w:bottom w:val="single" w:sz="8" w:color="CCEEFF"/>
            </w:tcBorders>
          </w:tcPr>
          <w:p>
            <w:pPr>
              <w:spacing w:after="0"/>
              <w:rPr>
                <w:sz w:val="15"/>
                <w:szCs w:val="15"/>
                <w:color w:val="auto"/>
              </w:rPr>
            </w:pPr>
          </w:p>
        </w:tc>
        <w:tc>
          <w:tcPr>
            <w:tcW w:w="3720" w:type="dxa"/>
            <w:vAlign w:val="bottom"/>
            <w:tcBorders>
              <w:bottom w:val="single" w:sz="8" w:color="CCEEFF"/>
            </w:tcBorders>
          </w:tcPr>
          <w:p>
            <w:pPr>
              <w:spacing w:after="0"/>
              <w:rPr>
                <w:sz w:val="15"/>
                <w:szCs w:val="15"/>
                <w:color w:val="auto"/>
              </w:rPr>
            </w:pPr>
          </w:p>
        </w:tc>
        <w:tc>
          <w:tcPr>
            <w:tcW w:w="17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4,272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13,872</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2,344</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2,343</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Linefill and base gas</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896</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inventory</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193</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assets, net</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290</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PARTNERS’ CAPITAL</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4,664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net of unamortized discounts and debt issuance costs</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9,874</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debt</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 and deferred credits</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606</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7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15,394</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Partners’ capital excluding noncontrolling interests</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8,759</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partners’ capital</w:t>
            </w:r>
          </w:p>
        </w:tc>
        <w:tc>
          <w:tcPr>
            <w:tcW w:w="17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8,816</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17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24,210</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22,288</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DEBT CAPITALIZATION RATIOS</w:t>
            </w:r>
          </w:p>
        </w:tc>
        <w:tc>
          <w:tcPr>
            <w:tcW w:w="1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540" w:type="dxa"/>
            <w:vAlign w:val="bottom"/>
            <w:gridSpan w:val="3"/>
            <w:vMerge w:val="continue"/>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7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00" w:type="dxa"/>
            <w:vAlign w:val="bottom"/>
            <w:tcBorders>
              <w:bottom w:val="single" w:sz="8" w:color="CCEEFF"/>
            </w:tcBorders>
          </w:tcPr>
          <w:p>
            <w:pPr>
              <w:spacing w:after="0"/>
              <w:rPr>
                <w:sz w:val="15"/>
                <w:szCs w:val="15"/>
                <w:color w:val="auto"/>
              </w:rPr>
            </w:pPr>
          </w:p>
        </w:tc>
        <w:tc>
          <w:tcPr>
            <w:tcW w:w="3720" w:type="dxa"/>
            <w:vAlign w:val="bottom"/>
            <w:tcBorders>
              <w:bottom w:val="single" w:sz="8" w:color="CCEEFF"/>
            </w:tcBorders>
          </w:tcPr>
          <w:p>
            <w:pPr>
              <w:spacing w:after="0"/>
              <w:rPr>
                <w:sz w:val="15"/>
                <w:szCs w:val="15"/>
                <w:color w:val="auto"/>
              </w:rPr>
            </w:pPr>
          </w:p>
        </w:tc>
        <w:tc>
          <w:tcPr>
            <w:tcW w:w="17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8"/>
                <w:szCs w:val="18"/>
                <w:color w:val="auto"/>
              </w:rPr>
              <w:t xml:space="preserve">Short-term debt </w:t>
            </w:r>
            <w:r>
              <w:rPr>
                <w:rFonts w:ascii="Times New Roman" w:cs="Times New Roman" w:eastAsia="Times New Roman" w:hAnsi="Times New Roman"/>
                <w:sz w:val="23"/>
                <w:szCs w:val="23"/>
                <w:color w:val="auto"/>
                <w:vertAlign w:val="superscript"/>
              </w:rPr>
              <w:t>(1)</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10,124</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10,124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Partners’ capital</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8,816</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book capitalization</w:t>
            </w: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book capitalization, including short-term debt</w:t>
            </w:r>
          </w:p>
        </w:tc>
        <w:tc>
          <w:tcPr>
            <w:tcW w:w="17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520" w:type="dxa"/>
            <w:vAlign w:val="bottom"/>
            <w:tcBorders>
              <w:bottom w:val="single" w:sz="8" w:color="CCEEFF"/>
            </w:tcBorders>
            <w:gridSpan w:val="2"/>
            <w:vMerge w:val="continue"/>
          </w:tcPr>
          <w:p>
            <w:pPr>
              <w:spacing w:after="0"/>
              <w:rPr>
                <w:sz w:val="20"/>
                <w:szCs w:val="20"/>
                <w:color w:val="auto"/>
              </w:rPr>
            </w:pPr>
          </w:p>
        </w:tc>
        <w:tc>
          <w:tcPr>
            <w:tcW w:w="17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20,655</w:t>
            </w:r>
          </w:p>
        </w:tc>
        <w:tc>
          <w:tcPr>
            <w:tcW w:w="2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19,313</w:t>
            </w:r>
          </w:p>
        </w:tc>
        <w:tc>
          <w:tcPr>
            <w:tcW w:w="1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debt-to-total book capitalization</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debt-to-total book capitalization, including short-term debt</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20" w:right="80" w:hanging="512"/>
        <w:spacing w:after="0" w:line="235" w:lineRule="auto"/>
        <w:tabs>
          <w:tab w:leader="none" w:pos="502"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At December 31, 2016, short-term debt includes borrowings of approximately $1,303 million for short-term hedged inventory purchases and borrowings of approximately $410 million for cash margin deposits with our clearing brokers, which are associated with financial derivatives used for hedging purposes.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color w:val="auto"/>
          <w:vertAlign w:val="superscript"/>
        </w:rPr>
        <w:t>(1)</w:t>
      </w:r>
    </w:p>
    <w:p>
      <w:pPr>
        <w:spacing w:after="0" w:line="153" w:lineRule="exact"/>
        <w:rPr>
          <w:sz w:val="20"/>
          <w:szCs w:val="20"/>
          <w:color w:val="auto"/>
        </w:rPr>
      </w:pPr>
    </w:p>
    <w:tbl>
      <w:tblPr>
        <w:tblLayout w:type="fixed"/>
        <w:tblInd w:w="5000" w:type="dxa"/>
        <w:tblCellMar>
          <w:top w:w="0" w:type="dxa"/>
          <w:left w:w="0" w:type="dxa"/>
          <w:bottom w:w="0" w:type="dxa"/>
          <w:right w:w="0" w:type="dxa"/>
        </w:tblCellMar>
      </w:tblPr>
      <w:tr>
        <w:trPr>
          <w:trHeight w:val="161"/>
        </w:trPr>
        <w:tc>
          <w:tcPr>
            <w:tcW w:w="2180" w:type="dxa"/>
            <w:vAlign w:val="bottom"/>
            <w:gridSpan w:val="3"/>
          </w:tcPr>
          <w:p>
            <w:pPr>
              <w:jc w:val="center"/>
              <w:ind w:left="7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73"/>
        </w:trPr>
        <w:tc>
          <w:tcPr>
            <w:tcW w:w="2180" w:type="dxa"/>
            <w:vAlign w:val="bottom"/>
            <w:tcBorders>
              <w:bottom w:val="single" w:sz="8" w:color="auto"/>
            </w:tcBorders>
            <w:gridSpan w:val="3"/>
          </w:tcPr>
          <w:p>
            <w:pPr>
              <w:jc w:val="center"/>
              <w:ind w:left="7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center"/>
              <w:ind w:right="90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1360" w:type="dxa"/>
            <w:vAlign w:val="bottom"/>
            <w:tcBorders>
              <w:bottom w:val="single" w:sz="8" w:color="auto"/>
            </w:tcBorders>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280" w:type="dxa"/>
            <w:vAlign w:val="bottom"/>
          </w:tcPr>
          <w:p>
            <w:pPr>
              <w:spacing w:after="0"/>
              <w:rPr>
                <w:sz w:val="12"/>
                <w:szCs w:val="12"/>
                <w:color w:val="auto"/>
              </w:rPr>
            </w:pPr>
          </w:p>
        </w:tc>
        <w:tc>
          <w:tcPr>
            <w:tcW w:w="96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4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Borders>
              <w:bottom w:val="single" w:sz="8" w:color="auto"/>
            </w:tcBorders>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9050"/>
                    </a:xfrm>
                    <a:prstGeom prst="rect">
                      <a:avLst/>
                    </a:prstGeom>
                    <a:noFill/>
                  </pic:spPr>
                </pic:pic>
              </a:graphicData>
            </a:graphic>
          </wp:anchor>
        </w:drawing>
      </w:r>
    </w:p>
    <w:p>
      <w:pPr>
        <w:sectPr>
          <w:pgSz w:w="11900" w:h="16838" w:orient="portrait"/>
          <w:cols w:equalWidth="0" w:num="1">
            <w:col w:w="11420"/>
          </w:cols>
          <w:pgMar w:left="240" w:top="117" w:right="23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Transportation segment (average daily volumes in thousands</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of barrels per day):</w:t>
            </w:r>
          </w:p>
        </w:tc>
        <w:tc>
          <w:tcPr>
            <w:tcW w:w="1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Tariff activities volumes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Crude oil pipelines (by region):</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line="216" w:lineRule="exact"/>
              <w:rPr>
                <w:sz w:val="20"/>
                <w:szCs w:val="20"/>
                <w:color w:val="auto"/>
              </w:rPr>
            </w:pPr>
            <w:r>
              <w:rPr>
                <w:rFonts w:ascii="Times New Roman" w:cs="Times New Roman" w:eastAsia="Times New Roman" w:hAnsi="Times New Roman"/>
                <w:sz w:val="18"/>
                <w:szCs w:val="18"/>
                <w:color w:val="auto"/>
              </w:rPr>
              <w:t xml:space="preserve">Permian Basin </w:t>
            </w:r>
            <w:r>
              <w:rPr>
                <w:rFonts w:ascii="Times New Roman" w:cs="Times New Roman" w:eastAsia="Times New Roman" w:hAnsi="Times New Roman"/>
                <w:sz w:val="23"/>
                <w:szCs w:val="23"/>
                <w:color w:val="auto"/>
                <w:vertAlign w:val="superscript"/>
              </w:rPr>
              <w:t>(2)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1,963</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2,146</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8"/>
                <w:szCs w:val="18"/>
                <w:color w:val="auto"/>
              </w:rPr>
              <w:t xml:space="preserve">South Texas / Eagle Ford </w:t>
            </w:r>
            <w:r>
              <w:rPr>
                <w:rFonts w:ascii="Times New Roman" w:cs="Times New Roman" w:eastAsia="Times New Roman" w:hAnsi="Times New Roman"/>
                <w:sz w:val="23"/>
                <w:szCs w:val="23"/>
                <w:color w:val="auto"/>
                <w:vertAlign w:val="superscript"/>
              </w:rPr>
              <w:t>(2)</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284</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331</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284</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Western</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171</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190</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188</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8"/>
                <w:szCs w:val="18"/>
                <w:color w:val="auto"/>
              </w:rPr>
              <w:t xml:space="preserve">Rocky Mountain </w:t>
            </w:r>
            <w:r>
              <w:rPr>
                <w:rFonts w:ascii="Times New Roman" w:cs="Times New Roman" w:eastAsia="Times New Roman" w:hAnsi="Times New Roman"/>
                <w:sz w:val="23"/>
                <w:szCs w:val="23"/>
                <w:color w:val="auto"/>
                <w:vertAlign w:val="superscript"/>
              </w:rPr>
              <w:t>(2)</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454</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433</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449</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Gulf Coast</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373</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537</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497</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8"/>
                <w:szCs w:val="18"/>
                <w:color w:val="auto"/>
              </w:rPr>
              <w:t xml:space="preserve">Central </w:t>
            </w:r>
            <w:r>
              <w:rPr>
                <w:rFonts w:ascii="Times New Roman" w:cs="Times New Roman" w:eastAsia="Times New Roman" w:hAnsi="Times New Roman"/>
                <w:sz w:val="23"/>
                <w:szCs w:val="23"/>
                <w:color w:val="auto"/>
                <w:vertAlign w:val="superscript"/>
              </w:rPr>
              <w:t>(2)</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397</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362</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394</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Canada</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374</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377</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381</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Crude oil pipelines</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NGL pipelines</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190</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189</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184</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Tariff activities total volumes</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Trucking</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118</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109</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114</w:t>
            </w: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Transportation segment total volumes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Facilities segment (average monthly volumes):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Crude oil, refined products and NGL terminalling and storage</w:t>
            </w:r>
          </w:p>
        </w:tc>
        <w:tc>
          <w:tcPr>
            <w:tcW w:w="16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110</w:t>
            </w:r>
          </w:p>
        </w:tc>
        <w:tc>
          <w:tcPr>
            <w:tcW w:w="16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103</w:t>
            </w:r>
          </w:p>
        </w:tc>
        <w:tc>
          <w:tcPr>
            <w:tcW w:w="16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107</w:t>
            </w:r>
          </w:p>
        </w:tc>
        <w:tc>
          <w:tcPr>
            <w:tcW w:w="14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(average monthly capacity in millions of barrels)</w:t>
            </w:r>
          </w:p>
        </w:tc>
        <w:tc>
          <w:tcPr>
            <w:tcW w:w="1660" w:type="dxa"/>
            <w:vAlign w:val="bottom"/>
            <w:gridSpan w:val="2"/>
            <w:vMerge w:val="continue"/>
          </w:tcPr>
          <w:p>
            <w:pPr>
              <w:spacing w:after="0"/>
              <w:rPr>
                <w:sz w:val="22"/>
                <w:szCs w:val="22"/>
                <w:color w:val="auto"/>
              </w:rPr>
            </w:pPr>
          </w:p>
        </w:tc>
        <w:tc>
          <w:tcPr>
            <w:tcW w:w="1640" w:type="dxa"/>
            <w:vAlign w:val="bottom"/>
            <w:gridSpan w:val="2"/>
            <w:vMerge w:val="continue"/>
          </w:tcPr>
          <w:p>
            <w:pPr>
              <w:spacing w:after="0"/>
              <w:rPr>
                <w:sz w:val="22"/>
                <w:szCs w:val="22"/>
                <w:color w:val="auto"/>
              </w:rPr>
            </w:pPr>
          </w:p>
        </w:tc>
        <w:tc>
          <w:tcPr>
            <w:tcW w:w="1640" w:type="dxa"/>
            <w:vAlign w:val="bottom"/>
            <w:gridSpan w:val="2"/>
            <w:vMerge w:val="continue"/>
          </w:tcPr>
          <w:p>
            <w:pPr>
              <w:spacing w:after="0"/>
              <w:rPr>
                <w:sz w:val="22"/>
                <w:szCs w:val="22"/>
                <w:color w:val="auto"/>
              </w:rPr>
            </w:pPr>
          </w:p>
        </w:tc>
        <w:tc>
          <w:tcPr>
            <w:tcW w:w="140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980" w:type="dxa"/>
            <w:vAlign w:val="bottom"/>
            <w:tcBorders>
              <w:top w:val="single" w:sz="8" w:color="CCEEFF"/>
            </w:tcBorders>
            <w:shd w:val="clear" w:color="auto" w:fill="CCEEFF"/>
          </w:tcPr>
          <w:p>
            <w:pPr>
              <w:ind w:left="160"/>
              <w:spacing w:after="0" w:line="151" w:lineRule="exact"/>
              <w:rPr>
                <w:sz w:val="20"/>
                <w:szCs w:val="20"/>
                <w:color w:val="auto"/>
              </w:rPr>
            </w:pPr>
            <w:r>
              <w:rPr>
                <w:rFonts w:ascii="Times New Roman" w:cs="Times New Roman" w:eastAsia="Times New Roman" w:hAnsi="Times New Roman"/>
                <w:sz w:val="17"/>
                <w:szCs w:val="17"/>
                <w:color w:val="auto"/>
              </w:rPr>
              <w:t>Rail load / unload volumes (average volumes in thousands of</w:t>
            </w:r>
          </w:p>
        </w:tc>
        <w:tc>
          <w:tcPr>
            <w:tcW w:w="13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80" w:type="dxa"/>
            <w:vAlign w:val="bottom"/>
            <w:tcBorders>
              <w:top w:val="single" w:sz="8" w:color="CCEEFF"/>
            </w:tcBorders>
            <w:vMerge w:val="restart"/>
            <w:shd w:val="clear" w:color="auto" w:fill="CCEEFF"/>
          </w:tcPr>
          <w:p>
            <w:pPr>
              <w:spacing w:after="0"/>
              <w:rPr>
                <w:sz w:val="13"/>
                <w:szCs w:val="13"/>
                <w:color w:val="auto"/>
              </w:rPr>
            </w:pPr>
          </w:p>
        </w:tc>
        <w:tc>
          <w:tcPr>
            <w:tcW w:w="13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tcBorders>
              <w:top w:val="single" w:sz="8" w:color="CCEEFF"/>
            </w:tcBorders>
            <w:vMerge w:val="restart"/>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barrels per day)</w:t>
            </w: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CCEEFF"/>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CCEEFF"/>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ind w:left="160"/>
              <w:spacing w:after="0" w:line="191" w:lineRule="exact"/>
              <w:rPr>
                <w:sz w:val="20"/>
                <w:szCs w:val="20"/>
                <w:color w:val="auto"/>
              </w:rPr>
            </w:pPr>
            <w:r>
              <w:rPr>
                <w:rFonts w:ascii="Times New Roman" w:cs="Times New Roman" w:eastAsia="Times New Roman" w:hAnsi="Times New Roman"/>
                <w:sz w:val="18"/>
                <w:szCs w:val="18"/>
                <w:color w:val="auto"/>
              </w:rPr>
              <w:t>Natural gas storage (average monthly working capacity in</w:t>
            </w: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4980" w:type="dxa"/>
            <w:vAlign w:val="bottom"/>
            <w:vMerge w:val="continue"/>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0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8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8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billions of cubic feet)</w:t>
            </w:r>
          </w:p>
        </w:tc>
        <w:tc>
          <w:tcPr>
            <w:tcW w:w="1360" w:type="dxa"/>
            <w:vAlign w:val="bottom"/>
            <w:tcBorders>
              <w:bottom w:val="single" w:sz="8" w:color="auto"/>
            </w:tcBorders>
            <w:vMerge w:val="continue"/>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CCEEFF"/>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980" w:type="dxa"/>
            <w:vAlign w:val="bottom"/>
            <w:shd w:val="clear" w:color="auto" w:fill="CCEEFF"/>
          </w:tcPr>
          <w:p>
            <w:pPr>
              <w:ind w:left="160"/>
              <w:spacing w:after="0" w:line="151" w:lineRule="exact"/>
              <w:rPr>
                <w:sz w:val="20"/>
                <w:szCs w:val="20"/>
                <w:color w:val="auto"/>
              </w:rPr>
            </w:pPr>
            <w:r>
              <w:rPr>
                <w:rFonts w:ascii="Times New Roman" w:cs="Times New Roman" w:eastAsia="Times New Roman" w:hAnsi="Times New Roman"/>
                <w:sz w:val="17"/>
                <w:szCs w:val="17"/>
                <w:color w:val="auto"/>
              </w:rPr>
              <w:t>NGL fractionation (average volumes in thousands of barrels</w:t>
            </w:r>
          </w:p>
        </w:tc>
        <w:tc>
          <w:tcPr>
            <w:tcW w:w="16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122</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80" w:type="dxa"/>
            <w:vAlign w:val="bottom"/>
            <w:shd w:val="clear" w:color="auto" w:fill="CCEEFF"/>
          </w:tcPr>
          <w:p>
            <w:pPr>
              <w:spacing w:after="0"/>
              <w:rPr>
                <w:sz w:val="13"/>
                <w:szCs w:val="13"/>
                <w:color w:val="auto"/>
              </w:rPr>
            </w:pPr>
          </w:p>
        </w:tc>
        <w:tc>
          <w:tcPr>
            <w:tcW w:w="164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115</w:t>
            </w:r>
          </w:p>
        </w:tc>
        <w:tc>
          <w:tcPr>
            <w:tcW w:w="14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 day)</w:t>
            </w:r>
          </w:p>
        </w:tc>
        <w:tc>
          <w:tcPr>
            <w:tcW w:w="1660" w:type="dxa"/>
            <w:vAlign w:val="bottom"/>
            <w:gridSpan w:val="2"/>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gridSpan w:val="2"/>
            <w:vMerge w:val="continue"/>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CEEFF"/>
              <w:bottom w:val="single" w:sz="8" w:color="CCEEFF"/>
            </w:tcBorders>
            <w:vMerge w:val="restart"/>
          </w:tcPr>
          <w:p>
            <w:pPr>
              <w:ind w:left="160"/>
              <w:spacing w:after="0" w:line="191" w:lineRule="exact"/>
              <w:rPr>
                <w:sz w:val="20"/>
                <w:szCs w:val="20"/>
                <w:color w:val="auto"/>
              </w:rPr>
            </w:pPr>
            <w:r>
              <w:rPr>
                <w:rFonts w:ascii="Times New Roman" w:cs="Times New Roman" w:eastAsia="Times New Roman" w:hAnsi="Times New Roman"/>
                <w:sz w:val="18"/>
                <w:szCs w:val="18"/>
                <w:color w:val="auto"/>
              </w:rPr>
              <w:t>Facilities segment total volumes (average monthly volumes in</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4980" w:type="dxa"/>
            <w:vAlign w:val="bottom"/>
            <w:vMerge w:val="continue"/>
          </w:tcPr>
          <w:p>
            <w:pPr>
              <w:spacing w:after="0"/>
              <w:rPr>
                <w:sz w:val="13"/>
                <w:szCs w:val="13"/>
                <w:color w:val="auto"/>
              </w:rPr>
            </w:pPr>
          </w:p>
        </w:tc>
        <w:tc>
          <w:tcPr>
            <w:tcW w:w="16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131</w:t>
            </w:r>
          </w:p>
        </w:tc>
        <w:tc>
          <w:tcPr>
            <w:tcW w:w="16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128</w:t>
            </w:r>
          </w:p>
        </w:tc>
        <w:tc>
          <w:tcPr>
            <w:tcW w:w="16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129</w:t>
            </w:r>
          </w:p>
        </w:tc>
        <w:tc>
          <w:tcPr>
            <w:tcW w:w="14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980" w:type="dxa"/>
            <w:vAlign w:val="bottom"/>
          </w:tcPr>
          <w:p>
            <w:pPr>
              <w:ind w:left="340"/>
              <w:spacing w:after="0" w:line="221" w:lineRule="exact"/>
              <w:rPr>
                <w:sz w:val="20"/>
                <w:szCs w:val="20"/>
                <w:color w:val="auto"/>
              </w:rPr>
            </w:pPr>
            <w:r>
              <w:rPr>
                <w:rFonts w:ascii="Times New Roman" w:cs="Times New Roman" w:eastAsia="Times New Roman" w:hAnsi="Times New Roman"/>
                <w:sz w:val="18"/>
                <w:szCs w:val="18"/>
                <w:color w:val="auto"/>
              </w:rPr>
              <w:t xml:space="preserve">millions of barrels) </w:t>
            </w:r>
            <w:r>
              <w:rPr>
                <w:rFonts w:ascii="Times New Roman" w:cs="Times New Roman" w:eastAsia="Times New Roman" w:hAnsi="Times New Roman"/>
                <w:sz w:val="23"/>
                <w:szCs w:val="23"/>
                <w:color w:val="auto"/>
                <w:vertAlign w:val="superscript"/>
              </w:rPr>
              <w:t>(3)</w:t>
            </w:r>
          </w:p>
        </w:tc>
        <w:tc>
          <w:tcPr>
            <w:tcW w:w="1660" w:type="dxa"/>
            <w:vAlign w:val="bottom"/>
            <w:gridSpan w:val="2"/>
            <w:vMerge w:val="continue"/>
          </w:tcPr>
          <w:p>
            <w:pPr>
              <w:spacing w:after="0"/>
              <w:rPr>
                <w:sz w:val="22"/>
                <w:szCs w:val="22"/>
                <w:color w:val="auto"/>
              </w:rPr>
            </w:pPr>
          </w:p>
        </w:tc>
        <w:tc>
          <w:tcPr>
            <w:tcW w:w="1640" w:type="dxa"/>
            <w:vAlign w:val="bottom"/>
            <w:gridSpan w:val="2"/>
            <w:vMerge w:val="continue"/>
          </w:tcPr>
          <w:p>
            <w:pPr>
              <w:spacing w:after="0"/>
              <w:rPr>
                <w:sz w:val="22"/>
                <w:szCs w:val="22"/>
                <w:color w:val="auto"/>
              </w:rPr>
            </w:pPr>
          </w:p>
        </w:tc>
        <w:tc>
          <w:tcPr>
            <w:tcW w:w="1640" w:type="dxa"/>
            <w:vAlign w:val="bottom"/>
            <w:gridSpan w:val="2"/>
            <w:vMerge w:val="continue"/>
          </w:tcPr>
          <w:p>
            <w:pPr>
              <w:spacing w:after="0"/>
              <w:rPr>
                <w:sz w:val="22"/>
                <w:szCs w:val="22"/>
                <w:color w:val="auto"/>
              </w:rPr>
            </w:pPr>
          </w:p>
        </w:tc>
        <w:tc>
          <w:tcPr>
            <w:tcW w:w="140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9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Supply and Logistics segment (average daily volumes in</w:t>
            </w: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thousands of barrels per day):</w:t>
            </w: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Crude oil lease gathering purchases</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895</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899</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894</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NGL sales</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346</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266</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259</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Waterborne cargos</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Supply and Logistics segment total volumes</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3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volumes are calculated as total volumes for the period (attributable to our interest) divided by the number of days or months in the period.</w:t>
      </w:r>
    </w:p>
    <w:p>
      <w:pPr>
        <w:spacing w:after="0" w:line="1" w:lineRule="exact"/>
        <w:rPr>
          <w:rFonts w:ascii="Times New Roman" w:cs="Times New Roman" w:eastAsia="Times New Roman" w:hAnsi="Times New Roman"/>
          <w:sz w:val="23"/>
          <w:szCs w:val="23"/>
          <w:color w:val="auto"/>
          <w:vertAlign w:val="superscript"/>
        </w:rPr>
      </w:pPr>
    </w:p>
    <w:p>
      <w:pPr>
        <w:ind w:left="460" w:hanging="452"/>
        <w:spacing w:after="0" w:line="194" w:lineRule="auto"/>
        <w:tabs>
          <w:tab w:leader="none" w:pos="46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Region includes volumes (attributable to our interest) from pipelines owned by unconsolidated entities.</w:t>
      </w:r>
    </w:p>
    <w:p>
      <w:pPr>
        <w:spacing w:after="0" w:line="2" w:lineRule="exact"/>
        <w:rPr>
          <w:rFonts w:ascii="Times New Roman" w:cs="Times New Roman" w:eastAsia="Times New Roman" w:hAnsi="Times New Roman"/>
          <w:sz w:val="23"/>
          <w:szCs w:val="23"/>
          <w:color w:val="auto"/>
          <w:vertAlign w:val="superscript"/>
        </w:rPr>
      </w:pPr>
    </w:p>
    <w:p>
      <w:pPr>
        <w:ind w:left="460" w:right="200" w:hanging="452"/>
        <w:spacing w:after="0" w:line="248" w:lineRule="auto"/>
        <w:tabs>
          <w:tab w:leader="none" w:pos="453"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Facilities segment total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COMPUTATION OF BASIC AND DILUTED NET INCOME PER COMMON UNIT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b w:val="1"/>
          <w:bCs w:val="1"/>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760" w:type="dxa"/>
            <w:vAlign w:val="bottom"/>
            <w:gridSpan w:val="3"/>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8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Net Income per Common Unit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102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126</w:t>
            </w:r>
          </w:p>
        </w:tc>
        <w:tc>
          <w:tcPr>
            <w:tcW w:w="94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247</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726</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to Series A preferred units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w:t>
            </w: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 to general partner</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(412)</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to participating securities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Undistributed loss allocated to general partner</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Net income allocated to common unitholders in accordance with</w:t>
            </w: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4800" w:type="dxa"/>
            <w:vAlign w:val="bottom"/>
            <w:vMerge w:val="continue"/>
          </w:tcPr>
          <w:p>
            <w:pPr>
              <w:spacing w:after="0"/>
              <w:rPr>
                <w:sz w:val="15"/>
                <w:szCs w:val="15"/>
                <w:color w:val="auto"/>
              </w:rPr>
            </w:pPr>
          </w:p>
        </w:tc>
        <w:tc>
          <w:tcPr>
            <w:tcW w:w="1020" w:type="dxa"/>
            <w:vAlign w:val="bottom"/>
            <w:gridSpan w:val="2"/>
            <w:vMerge w:val="restart"/>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00" w:type="dxa"/>
            <w:vAlign w:val="bottom"/>
          </w:tcPr>
          <w:p>
            <w:pPr>
              <w:spacing w:after="0"/>
              <w:rPr>
                <w:sz w:val="15"/>
                <w:szCs w:val="15"/>
                <w:color w:val="auto"/>
              </w:rPr>
            </w:pPr>
          </w:p>
        </w:tc>
        <w:tc>
          <w:tcPr>
            <w:tcW w:w="940" w:type="dxa"/>
            <w:vAlign w:val="bottom"/>
            <w:vMerge w:val="restart"/>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tcPr>
          <w:p>
            <w:pPr>
              <w:spacing w:after="0"/>
              <w:rPr>
                <w:sz w:val="15"/>
                <w:szCs w:val="15"/>
                <w:color w:val="auto"/>
              </w:rPr>
            </w:pPr>
          </w:p>
        </w:tc>
        <w:tc>
          <w:tcPr>
            <w:tcW w:w="4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200</w:t>
            </w:r>
          </w:p>
        </w:tc>
        <w:tc>
          <w:tcPr>
            <w:tcW w:w="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application of the two-class method</w:t>
            </w:r>
          </w:p>
        </w:tc>
        <w:tc>
          <w:tcPr>
            <w:tcW w:w="1020" w:type="dxa"/>
            <w:vAlign w:val="bottom"/>
            <w:gridSpan w:val="2"/>
            <w:vMerge w:val="continue"/>
          </w:tcPr>
          <w:p>
            <w:pPr>
              <w:spacing w:after="0"/>
              <w:rPr>
                <w:sz w:val="22"/>
                <w:szCs w:val="22"/>
                <w:color w:val="auto"/>
              </w:rPr>
            </w:pPr>
          </w:p>
        </w:tc>
        <w:tc>
          <w:tcPr>
            <w:tcW w:w="52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44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gridSpan w:val="2"/>
            <w:vMerge w:val="continue"/>
          </w:tcPr>
          <w:p>
            <w:pPr>
              <w:spacing w:after="0"/>
              <w:rPr>
                <w:sz w:val="22"/>
                <w:szCs w:val="22"/>
                <w:color w:val="auto"/>
              </w:rPr>
            </w:pPr>
          </w:p>
        </w:tc>
        <w:tc>
          <w:tcPr>
            <w:tcW w:w="1320" w:type="dxa"/>
            <w:vAlign w:val="bottom"/>
            <w:gridSpan w:val="2"/>
            <w:vMerge w:val="continue"/>
          </w:tcPr>
          <w:p>
            <w:pPr>
              <w:spacing w:after="0"/>
              <w:rPr>
                <w:sz w:val="22"/>
                <w:szCs w:val="22"/>
                <w:color w:val="auto"/>
              </w:rPr>
            </w:pPr>
          </w:p>
        </w:tc>
        <w:tc>
          <w:tcPr>
            <w:tcW w:w="400" w:type="dxa"/>
            <w:vAlign w:val="bottom"/>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Basic weighted average common units outstanding </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660</w:t>
            </w:r>
          </w:p>
        </w:tc>
        <w:tc>
          <w:tcPr>
            <w:tcW w:w="9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464</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per common unit</w:t>
            </w:r>
          </w:p>
        </w:tc>
        <w:tc>
          <w:tcPr>
            <w:tcW w:w="102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0.14</w:t>
            </w:r>
          </w:p>
        </w:tc>
        <w:tc>
          <w:tcPr>
            <w:tcW w:w="94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0.24</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0.43</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8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0" w:gutter="0" w:footer="0" w:header="0"/>
        </w:sectPr>
      </w:pPr>
    </w:p>
    <w:bookmarkStart w:id="9" w:name="page10"/>
    <w:bookmarkEnd w:id="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Diluted Net Income per Common Unit</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7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126</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247</w:t>
            </w:r>
          </w:p>
        </w:tc>
        <w:tc>
          <w:tcPr>
            <w:tcW w:w="6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726</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 to Series A preferred units</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w:t>
            </w:r>
          </w:p>
        </w:tc>
        <w:tc>
          <w:tcPr>
            <w:tcW w:w="5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w:t>
            </w: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to general partner</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 to participating securities</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5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Undistributed loss allocated to general partner</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5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vMerge w:val="restart"/>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allocated to common unitholders in accordance with</w:t>
            </w: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4800" w:type="dxa"/>
            <w:vAlign w:val="bottom"/>
            <w:vMerge w:val="continue"/>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200</w:t>
            </w:r>
          </w:p>
        </w:tc>
        <w:tc>
          <w:tcPr>
            <w:tcW w:w="560" w:type="dxa"/>
            <w:vAlign w:val="bottom"/>
            <w:vMerge w:val="restart"/>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application of the two-class method</w:t>
            </w:r>
          </w:p>
        </w:tc>
        <w:tc>
          <w:tcPr>
            <w:tcW w:w="74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Basic weighted average common units outstanding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660</w:t>
            </w: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464</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Effect of dilutive securities: Weighted average LTIP units </w:t>
            </w:r>
            <w:r>
              <w:rPr>
                <w:rFonts w:ascii="Times New Roman" w:cs="Times New Roman" w:eastAsia="Times New Roman" w:hAnsi="Times New Roman"/>
                <w:sz w:val="23"/>
                <w:szCs w:val="23"/>
                <w:color w:val="auto"/>
                <w:vertAlign w:val="superscript"/>
              </w:rPr>
              <w:t>(3)</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common units outstanding</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Diluted net income per common unit </w:t>
            </w:r>
            <w:r>
              <w:rPr>
                <w:rFonts w:ascii="Times New Roman" w:cs="Times New Roman" w:eastAsia="Times New Roman" w:hAnsi="Times New Roman"/>
                <w:sz w:val="23"/>
                <w:szCs w:val="23"/>
                <w:color w:val="auto"/>
                <w:vertAlign w:val="superscript"/>
              </w:rPr>
              <w:t>(4)</w:t>
            </w:r>
          </w:p>
        </w:tc>
        <w:tc>
          <w:tcPr>
            <w:tcW w:w="7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0.14</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0.24</w:t>
            </w:r>
          </w:p>
        </w:tc>
        <w:tc>
          <w:tcPr>
            <w:tcW w:w="6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0.43</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60" w:right="140" w:hanging="452"/>
        <w:spacing w:after="0" w:line="239" w:lineRule="auto"/>
        <w:tabs>
          <w:tab w:leader="none" w:pos="453"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calculate net income allocated to common unitholders based on the distributions pertaining to the current period’s net income. After adjusting for the appropriate period’s distributions, the remaining undistributed earnings or excess distributions over earnings, if any, are allocated to the general partner, common unitholders and participating securities in accordance with the contractual terms of our partnership agreement in effect for the period and as further prescribed under the two-class method.</w:t>
      </w:r>
    </w:p>
    <w:p>
      <w:pPr>
        <w:spacing w:after="0" w:line="198" w:lineRule="exact"/>
        <w:rPr>
          <w:rFonts w:ascii="Times New Roman" w:cs="Times New Roman" w:eastAsia="Times New Roman" w:hAnsi="Times New Roman"/>
          <w:sz w:val="23"/>
          <w:szCs w:val="23"/>
          <w:color w:val="auto"/>
          <w:vertAlign w:val="superscript"/>
        </w:rPr>
      </w:pPr>
    </w:p>
    <w:p>
      <w:pPr>
        <w:ind w:left="460" w:right="80"/>
        <w:spacing w:after="0" w:line="255"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Simplification Transactions, which closed on November 15, 2016, included the permanent elimination of our IDRs and the economic rights associated with our 2% general partner interest in exchange for the issuance by us of approximately 244.7 million common units and the assumption of Plains AAP, L.P.’s (“AAP”) debt. As such, beginning with the distribution pertaining to the fourth quarter of 2016, our general partner is no longer entitled to receive distributions on the IDRs or 2% general partner interest.</w:t>
      </w:r>
    </w:p>
    <w:p>
      <w:pPr>
        <w:spacing w:after="0" w:line="2" w:lineRule="exact"/>
        <w:rPr>
          <w:rFonts w:ascii="Times New Roman" w:cs="Times New Roman" w:eastAsia="Times New Roman" w:hAnsi="Times New Roman"/>
          <w:sz w:val="23"/>
          <w:szCs w:val="23"/>
          <w:color w:val="auto"/>
          <w:vertAlign w:val="superscript"/>
        </w:rPr>
      </w:pPr>
    </w:p>
    <w:p>
      <w:pPr>
        <w:ind w:left="460" w:right="40" w:hanging="452"/>
        <w:spacing w:after="0" w:line="229" w:lineRule="auto"/>
        <w:tabs>
          <w:tab w:leader="none" w:pos="453"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have considered the common units issued in connection with the Simplification Transactions to be outstanding for the entire fourth quarter of 2016 in the calculation of weighted average common units outstanding to more closely reflect the ownership interests in us with rights to the distributions for the periods included in the calculation of net income allocated to common unitholders.</w:t>
      </w:r>
    </w:p>
    <w:p>
      <w:pPr>
        <w:ind w:left="460" w:right="120" w:hanging="452"/>
        <w:spacing w:after="0" w:line="234" w:lineRule="auto"/>
        <w:tabs>
          <w:tab w:leader="none" w:pos="453"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spacing w:after="0" w:line="1" w:lineRule="exact"/>
        <w:rPr>
          <w:rFonts w:ascii="Times New Roman" w:cs="Times New Roman" w:eastAsia="Times New Roman" w:hAnsi="Times New Roman"/>
          <w:sz w:val="23"/>
          <w:szCs w:val="23"/>
          <w:color w:val="auto"/>
          <w:vertAlign w:val="superscript"/>
        </w:rPr>
      </w:pPr>
    </w:p>
    <w:p>
      <w:pPr>
        <w:ind w:left="460" w:right="380" w:hanging="452"/>
        <w:spacing w:after="0" w:line="219" w:lineRule="auto"/>
        <w:tabs>
          <w:tab w:leader="none" w:pos="453"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possible conversion of our Series A preferred units was excluded from the calculation of diluted net income per common unit for the three and twelve months ended December 31, 2016 as the effect was antidilutive.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FINANCIAL DATA BY SEGMENT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4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8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00" w:type="dxa"/>
            <w:vAlign w:val="bottom"/>
          </w:tcPr>
          <w:p>
            <w:pPr>
              <w:spacing w:after="0"/>
              <w:rPr>
                <w:sz w:val="10"/>
                <w:szCs w:val="10"/>
                <w:color w:val="auto"/>
              </w:rPr>
            </w:pPr>
          </w:p>
        </w:tc>
        <w:tc>
          <w:tcPr>
            <w:tcW w:w="820" w:type="dxa"/>
            <w:vAlign w:val="bottom"/>
          </w:tcPr>
          <w:p>
            <w:pPr>
              <w:jc w:val="right"/>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Supply and</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Supply and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5,665</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Field operating costs </w:t>
            </w:r>
            <w:r>
              <w:rPr>
                <w:rFonts w:ascii="Times New Roman" w:cs="Times New Roman" w:eastAsia="Times New Roman" w:hAnsi="Times New Roman"/>
                <w:sz w:val="23"/>
                <w:szCs w:val="23"/>
                <w:color w:val="auto"/>
                <w:vertAlign w:val="superscript"/>
              </w:rPr>
              <w:t>(2) (3)</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Equity-indexed compensation expense - field</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costs</w:t>
            </w:r>
          </w:p>
        </w:tc>
        <w:tc>
          <w:tcPr>
            <w:tcW w:w="14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auto"/>
              </w:rPr>
              <w:t>Segment general and administrative expenses</w:t>
            </w:r>
          </w:p>
        </w:tc>
        <w:tc>
          <w:tcPr>
            <w:tcW w:w="14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4"/>
                <w:szCs w:val="14"/>
                <w:color w:val="auto"/>
              </w:rPr>
            </w:pPr>
          </w:p>
        </w:tc>
        <w:tc>
          <w:tcPr>
            <w:tcW w:w="102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(3) (4)</w:t>
            </w:r>
          </w:p>
        </w:tc>
        <w:tc>
          <w:tcPr>
            <w:tcW w:w="140" w:type="dxa"/>
            <w:vAlign w:val="bottom"/>
            <w:shd w:val="clear" w:color="auto" w:fill="CCEEFF"/>
          </w:tcPr>
          <w:p>
            <w:pPr>
              <w:spacing w:after="0"/>
              <w:rPr>
                <w:sz w:val="16"/>
                <w:szCs w:val="16"/>
                <w:color w:val="auto"/>
              </w:rPr>
            </w:pPr>
          </w:p>
        </w:tc>
        <w:tc>
          <w:tcPr>
            <w:tcW w:w="13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tcBorders>
              <w:right w:val="single" w:sz="8" w:color="auto"/>
            </w:tcBorders>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Equity-indexed compensation expense -</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Depreciation and amortization of</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unconsolidated entities</w:t>
            </w:r>
          </w:p>
        </w:tc>
        <w:tc>
          <w:tcPr>
            <w:tcW w:w="1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(Gains)/losses from derivative activities net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 inventory valuation adjustments</w:t>
            </w: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217</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Deficiencies under minimum volume</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commitments, net</w:t>
            </w: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(gain)/loss on foreign currency</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revaluation</w:t>
            </w: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17" w:right="239" w:bottom="0" w:gutter="0" w:footer="0" w:header="0"/>
        </w:sectPr>
      </w:pPr>
    </w:p>
    <w:bookmarkStart w:id="10" w:name="page11"/>
    <w:bookmarkEnd w:id="10"/>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Line 901 incident</w:t>
            </w:r>
          </w:p>
        </w:tc>
        <w:tc>
          <w:tcPr>
            <w:tcW w:w="1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2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7"/>
              </w:rPr>
              <w:t>Segment adjusted EBITDA</w:t>
            </w:r>
          </w:p>
        </w:tc>
        <w:tc>
          <w:tcPr>
            <w:tcW w:w="14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97"/>
              </w:rPr>
              <w:t>Maintenance capital</w:t>
            </w:r>
          </w:p>
        </w:tc>
        <w:tc>
          <w:tcPr>
            <w:tcW w:w="236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more –</w:t>
            </w:r>
          </w:p>
        </w:tc>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tc>
        <w:tc>
          <w:tcPr>
            <w:tcW w:w="2220" w:type="dxa"/>
            <w:vAlign w:val="bottom"/>
            <w:gridSpan w:val="7"/>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Houston, Texas 77002</w:t>
            </w:r>
          </w:p>
        </w:tc>
        <w:tc>
          <w:tcPr>
            <w:tcW w:w="244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713-646-4100 / 866-809-1291</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4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8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00" w:type="dxa"/>
            <w:vAlign w:val="bottom"/>
          </w:tcPr>
          <w:p>
            <w:pPr>
              <w:spacing w:after="0"/>
              <w:rPr>
                <w:sz w:val="10"/>
                <w:szCs w:val="10"/>
                <w:color w:val="auto"/>
              </w:rPr>
            </w:pPr>
          </w:p>
        </w:tc>
        <w:tc>
          <w:tcPr>
            <w:tcW w:w="8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Supply and</w:t>
            </w:r>
          </w:p>
        </w:tc>
        <w:tc>
          <w:tcPr>
            <w:tcW w:w="38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Supply and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19,018</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(18,627)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Field operating costs </w:t>
            </w:r>
            <w:r>
              <w:rPr>
                <w:rFonts w:ascii="Times New Roman" w:cs="Times New Roman" w:eastAsia="Times New Roman" w:hAnsi="Times New Roman"/>
                <w:sz w:val="23"/>
                <w:szCs w:val="23"/>
                <w:color w:val="auto"/>
                <w:vertAlign w:val="superscript"/>
              </w:rPr>
              <w:t>(2) (3)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Equity-indexed compensation expense - field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costs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auto"/>
              </w:rPr>
              <w:t>Segment general and administrative expenses</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4"/>
                <w:szCs w:val="14"/>
                <w:color w:val="auto"/>
              </w:rPr>
            </w:pPr>
          </w:p>
        </w:tc>
        <w:tc>
          <w:tcPr>
            <w:tcW w:w="102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(3) (4)</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tcBorders>
              <w:right w:val="single" w:sz="8" w:color="auto"/>
            </w:tcBorders>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Equity-indexed compensation expense -</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Depreciation and amortization of</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unconsolidated entities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(Gains)/losses from derivative activities net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 inventory valuation adjustments</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406</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Deficiencies under minimum volume</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commitments, net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(gain)/loss on foreign currency</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revaluation</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Line 901 incident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0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Maintenance capital</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00" w:right="40" w:hanging="492"/>
        <w:spacing w:after="0" w:line="235" w:lineRule="auto"/>
        <w:tabs>
          <w:tab w:leader="none" w:pos="48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fourth quarter of 2016, we modified our primary segment performance measure to segment adjusted EBITDA from segment profit. Segment adjusted EBITDA forms the basis of our internal financial reporting and is the primary measure used by our CODM in assessing performance and allocating resources among our operating segments. Prior period segment amounts have been recast to reflect this change.</w:t>
      </w:r>
    </w:p>
    <w:p>
      <w:pPr>
        <w:spacing w:after="0" w:line="2" w:lineRule="exact"/>
        <w:rPr>
          <w:rFonts w:ascii="Times New Roman" w:cs="Times New Roman" w:eastAsia="Times New Roman" w:hAnsi="Times New Roman"/>
          <w:sz w:val="23"/>
          <w:szCs w:val="23"/>
          <w:color w:val="auto"/>
          <w:vertAlign w:val="superscript"/>
        </w:rPr>
      </w:pPr>
    </w:p>
    <w:p>
      <w:pPr>
        <w:ind w:left="480" w:hanging="472"/>
        <w:spacing w:after="0" w:line="196" w:lineRule="auto"/>
        <w:tabs>
          <w:tab w:leader="none" w:pos="48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intersegment amounts.</w:t>
      </w:r>
    </w:p>
    <w:p>
      <w:pPr>
        <w:spacing w:after="0" w:line="1" w:lineRule="exact"/>
        <w:rPr>
          <w:rFonts w:ascii="Times New Roman" w:cs="Times New Roman" w:eastAsia="Times New Roman" w:hAnsi="Times New Roman"/>
          <w:sz w:val="23"/>
          <w:szCs w:val="23"/>
          <w:color w:val="auto"/>
          <w:vertAlign w:val="superscript"/>
        </w:rPr>
      </w:pPr>
    </w:p>
    <w:p>
      <w:pPr>
        <w:ind w:left="500" w:right="60" w:hanging="492"/>
        <w:spacing w:after="0" w:line="219" w:lineRule="auto"/>
        <w:tabs>
          <w:tab w:leader="none" w:pos="48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Field operating costs and Segment general and administrative expenses exclude equity-indexed compensation expense, which is presented separately in the table above.</w:t>
      </w:r>
    </w:p>
    <w:p>
      <w:pPr>
        <w:ind w:left="500" w:right="160" w:hanging="492"/>
        <w:spacing w:after="0" w:line="219" w:lineRule="auto"/>
        <w:tabs>
          <w:tab w:leader="none" w:pos="48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 w:lineRule="exact"/>
        <w:rPr>
          <w:rFonts w:ascii="Times New Roman" w:cs="Times New Roman" w:eastAsia="Times New Roman" w:hAnsi="Times New Roman"/>
          <w:sz w:val="23"/>
          <w:szCs w:val="23"/>
          <w:color w:val="auto"/>
          <w:vertAlign w:val="superscript"/>
        </w:rPr>
      </w:pPr>
    </w:p>
    <w:p>
      <w:pPr>
        <w:ind w:left="500" w:right="180" w:hanging="492"/>
        <w:spacing w:after="0" w:line="229" w:lineRule="auto"/>
        <w:tabs>
          <w:tab w:leader="none" w:pos="48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on the following page for additional discussion.</w:t>
      </w:r>
    </w:p>
    <w:p>
      <w:pPr>
        <w:spacing w:after="0" w:line="1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ITEMS IMPACTING COMPARABILITY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188" w:lineRule="exact"/>
        <w:rPr>
          <w:sz w:val="20"/>
          <w:szCs w:val="20"/>
          <w:color w:val="auto"/>
        </w:rPr>
      </w:pPr>
    </w:p>
    <w:tbl>
      <w:tblPr>
        <w:tblLayout w:type="fixed"/>
        <w:tblInd w:w="6180" w:type="dxa"/>
        <w:tblCellMar>
          <w:top w:w="0" w:type="dxa"/>
          <w:left w:w="0" w:type="dxa"/>
          <w:bottom w:w="0" w:type="dxa"/>
          <w:right w:w="0" w:type="dxa"/>
        </w:tblCellMar>
      </w:tblPr>
      <w:tr>
        <w:trPr>
          <w:trHeight w:val="161"/>
        </w:trPr>
        <w:tc>
          <w:tcPr>
            <w:tcW w:w="27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73"/>
        </w:trPr>
        <w:tc>
          <w:tcPr>
            <w:tcW w:w="740" w:type="dxa"/>
            <w:vAlign w:val="bottom"/>
          </w:tcPr>
          <w:p>
            <w:pPr>
              <w:spacing w:after="0"/>
              <w:rPr>
                <w:sz w:val="15"/>
                <w:szCs w:val="15"/>
                <w:color w:val="auto"/>
              </w:rPr>
            </w:pPr>
          </w:p>
        </w:tc>
        <w:tc>
          <w:tcPr>
            <w:tcW w:w="2020" w:type="dxa"/>
            <w:vAlign w:val="bottom"/>
            <w:gridSpan w:val="2"/>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Pr>
          <w:p>
            <w:pPr>
              <w:spacing w:after="0"/>
              <w:rPr>
                <w:sz w:val="15"/>
                <w:szCs w:val="15"/>
                <w:color w:val="auto"/>
              </w:rPr>
            </w:pPr>
          </w:p>
        </w:tc>
        <w:tc>
          <w:tcPr>
            <w:tcW w:w="1660" w:type="dxa"/>
            <w:vAlign w:val="bottom"/>
          </w:tcPr>
          <w:p>
            <w:pPr>
              <w:jc w:val="center"/>
              <w:ind w:right="64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4"/>
        </w:trPr>
        <w:tc>
          <w:tcPr>
            <w:tcW w:w="740" w:type="dxa"/>
            <w:vAlign w:val="bottom"/>
            <w:tcBorders>
              <w:top w:val="single" w:sz="8" w:color="auto"/>
            </w:tcBorders>
          </w:tcPr>
          <w:p>
            <w:pPr>
              <w:jc w:val="right"/>
              <w:ind w:right="8"/>
              <w:spacing w:after="0" w:line="144" w:lineRule="exact"/>
              <w:rPr>
                <w:sz w:val="20"/>
                <w:szCs w:val="20"/>
                <w:color w:val="auto"/>
              </w:rPr>
            </w:pPr>
            <w:r>
              <w:rPr>
                <w:rFonts w:ascii="Times New Roman" w:cs="Times New Roman" w:eastAsia="Times New Roman" w:hAnsi="Times New Roman"/>
                <w:sz w:val="14"/>
                <w:szCs w:val="14"/>
                <w:b w:val="1"/>
                <w:bCs w:val="1"/>
                <w:color w:val="auto"/>
              </w:rPr>
              <w:t>2016</w:t>
            </w:r>
          </w:p>
        </w:tc>
        <w:tc>
          <w:tcPr>
            <w:tcW w:w="1700" w:type="dxa"/>
            <w:vAlign w:val="bottom"/>
            <w:tcBorders>
              <w:top w:val="single" w:sz="8" w:color="auto"/>
            </w:tcBorders>
          </w:tcPr>
          <w:p>
            <w:pPr>
              <w:jc w:val="right"/>
              <w:ind w:right="308"/>
              <w:spacing w:after="0" w:line="144" w:lineRule="exact"/>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Pr>
          <w:p>
            <w:pPr>
              <w:spacing w:after="0"/>
              <w:rPr>
                <w:sz w:val="12"/>
                <w:szCs w:val="12"/>
                <w:color w:val="auto"/>
              </w:rPr>
            </w:pPr>
          </w:p>
        </w:tc>
        <w:tc>
          <w:tcPr>
            <w:tcW w:w="72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2016</w:t>
            </w:r>
          </w:p>
        </w:tc>
        <w:tc>
          <w:tcPr>
            <w:tcW w:w="1660" w:type="dxa"/>
            <w:vAlign w:val="bottom"/>
            <w:tcBorders>
              <w:top w:val="single" w:sz="8" w:color="auto"/>
            </w:tcBorders>
          </w:tcPr>
          <w:p>
            <w:pPr>
              <w:jc w:val="right"/>
              <w:ind w:right="308"/>
              <w:spacing w:after="0" w:line="144" w:lineRule="exact"/>
              <w:rPr>
                <w:sz w:val="20"/>
                <w:szCs w:val="20"/>
                <w:color w:val="auto"/>
              </w:rPr>
            </w:pPr>
            <w:r>
              <w:rPr>
                <w:rFonts w:ascii="Times New Roman" w:cs="Times New Roman" w:eastAsia="Times New Roman" w:hAnsi="Times New Roman"/>
                <w:sz w:val="14"/>
                <w:szCs w:val="14"/>
                <w:b w:val="1"/>
                <w:bCs w:val="1"/>
                <w:color w:val="auto"/>
              </w:rPr>
              <w:t>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01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30175"/>
                    </a:xfrm>
                    <a:prstGeom prst="rect">
                      <a:avLst/>
                    </a:prstGeom>
                    <a:noFill/>
                  </pic:spPr>
                </pic:pic>
              </a:graphicData>
            </a:graphic>
          </wp:anchor>
        </w:drawing>
      </w:r>
    </w:p>
    <w:p>
      <w:pPr>
        <w:sectPr>
          <w:pgSz w:w="11900" w:h="16949" w:orient="portrait"/>
          <w:cols w:equalWidth="0" w:num="1">
            <w:col w:w="11460"/>
          </w:cols>
          <w:pgMar w:left="240" w:top="140" w:right="199" w:bottom="0" w:gutter="0" w:footer="0" w:header="0"/>
        </w:sectPr>
      </w:pPr>
    </w:p>
    <w:p>
      <w:pPr>
        <w:spacing w:after="0"/>
        <w:rPr>
          <w:sz w:val="20"/>
          <w:szCs w:val="20"/>
          <w:color w:val="auto"/>
        </w:rPr>
      </w:pPr>
      <w:r>
        <w:rPr>
          <w:rFonts w:ascii="Times New Roman" w:cs="Times New Roman" w:eastAsia="Times New Roman" w:hAnsi="Times New Roman"/>
          <w:sz w:val="17"/>
          <w:szCs w:val="17"/>
          <w:b w:val="1"/>
          <w:bCs w:val="1"/>
          <w:color w:val="auto"/>
        </w:rPr>
        <w:t xml:space="preserve">Selected Items Impacting Comparability </w:t>
      </w:r>
      <w:r>
        <w:rPr>
          <w:rFonts w:ascii="Times New Roman" w:cs="Times New Roman" w:eastAsia="Times New Roman" w:hAnsi="Times New Roman"/>
          <w:sz w:val="22"/>
          <w:szCs w:val="22"/>
          <w:b w:val="1"/>
          <w:bCs w:val="1"/>
          <w:color w:val="auto"/>
          <w:vertAlign w:val="superscript"/>
        </w:rPr>
        <w:t>(1)</w:t>
      </w:r>
      <w:r>
        <w:rPr>
          <w:rFonts w:ascii="Times New Roman" w:cs="Times New Roman" w:eastAsia="Times New Roman" w:hAnsi="Times New Roman"/>
          <w:sz w:val="17"/>
          <w:szCs w:val="17"/>
          <w:b w:val="1"/>
          <w:bCs w:val="1"/>
          <w:color w:val="auto"/>
        </w:rPr>
        <w:t>:</w:t>
      </w:r>
    </w:p>
    <w:p>
      <w:pPr>
        <w:sectPr>
          <w:pgSz w:w="11900" w:h="16949" w:orient="portrait"/>
          <w:cols w:equalWidth="0" w:num="1">
            <w:col w:w="11460"/>
          </w:cols>
          <w:pgMar w:left="240" w:top="140" w:right="199" w:bottom="0" w:gutter="0" w:footer="0" w:header="0"/>
          <w:type w:val="continuous"/>
        </w:sectPr>
      </w:pPr>
    </w:p>
    <w:bookmarkStart w:id="11" w:name="page12"/>
    <w:bookmarkEnd w:id="1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Gains/(losses) from derivative activities net of inventory valuation adjustments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w:t>
            </w:r>
          </w:p>
        </w:tc>
        <w:tc>
          <w:tcPr>
            <w:tcW w:w="34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15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(2)</w:t>
            </w: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6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Long-term inventory costing adjustments </w:t>
            </w:r>
            <w:r>
              <w:rPr>
                <w:rFonts w:ascii="Times New Roman" w:cs="Times New Roman" w:eastAsia="Times New Roman" w:hAnsi="Times New Roman"/>
                <w:sz w:val="23"/>
                <w:szCs w:val="23"/>
                <w:color w:val="auto"/>
                <w:vertAlign w:val="superscript"/>
              </w:rPr>
              <w:t>(3)</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w:t>
            </w:r>
          </w:p>
        </w:tc>
        <w:tc>
          <w:tcPr>
            <w:tcW w:w="3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Deficiencies under minimum volume commitments, net </w:t>
            </w:r>
            <w:r>
              <w:rPr>
                <w:rFonts w:ascii="Times New Roman" w:cs="Times New Roman" w:eastAsia="Times New Roman" w:hAnsi="Times New Roman"/>
                <w:sz w:val="23"/>
                <w:szCs w:val="23"/>
                <w:color w:val="auto"/>
                <w:vertAlign w:val="superscript"/>
              </w:rPr>
              <w:t>(4)</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3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Equity-indexed compensation expense </w:t>
            </w:r>
            <w:r>
              <w:rPr>
                <w:rFonts w:ascii="Times New Roman" w:cs="Times New Roman" w:eastAsia="Times New Roman" w:hAnsi="Times New Roman"/>
                <w:sz w:val="23"/>
                <w:szCs w:val="23"/>
                <w:color w:val="auto"/>
                <w:vertAlign w:val="superscript"/>
              </w:rPr>
              <w:t>(5)</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Net gain/(loss) on foreign currency revaluation </w:t>
            </w:r>
            <w:r>
              <w:rPr>
                <w:rFonts w:ascii="Times New Roman" w:cs="Times New Roman" w:eastAsia="Times New Roman" w:hAnsi="Times New Roman"/>
                <w:sz w:val="23"/>
                <w:szCs w:val="23"/>
                <w:color w:val="auto"/>
                <w:vertAlign w:val="superscript"/>
              </w:rPr>
              <w:t>(6)</w:t>
            </w:r>
          </w:p>
        </w:tc>
        <w:tc>
          <w:tcPr>
            <w:tcW w:w="3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Line 901 incident </w:t>
            </w:r>
            <w:r>
              <w:rPr>
                <w:rFonts w:ascii="Times New Roman" w:cs="Times New Roman" w:eastAsia="Times New Roman" w:hAnsi="Times New Roman"/>
                <w:sz w:val="23"/>
                <w:szCs w:val="23"/>
                <w:color w:val="auto"/>
                <w:vertAlign w:val="superscript"/>
              </w:rPr>
              <w:t>(7)</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3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Selected items impacting comparability - Adjusted EBITDA</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36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36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7"/>
                <w:szCs w:val="17"/>
                <w:color w:val="auto"/>
              </w:rPr>
              <w:t xml:space="preserve">Deferred income tax expense </w:t>
            </w:r>
            <w:r>
              <w:rPr>
                <w:rFonts w:ascii="Times New Roman" w:cs="Times New Roman" w:eastAsia="Times New Roman" w:hAnsi="Times New Roman"/>
                <w:sz w:val="22"/>
                <w:szCs w:val="22"/>
                <w:color w:val="auto"/>
                <w:vertAlign w:val="superscript"/>
              </w:rPr>
              <w:t>(8)</w:t>
            </w: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Tax effect on selected items impacting comparability</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67</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vMerge w:val="restart"/>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Selected items impacting comparability - Adjusted net income attributable to</w:t>
            </w: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6160" w:type="dxa"/>
            <w:vAlign w:val="bottom"/>
            <w:vMerge w:val="continue"/>
            <w:shd w:val="clear" w:color="auto" w:fill="CCEEFF"/>
          </w:tcPr>
          <w:p>
            <w:pPr>
              <w:spacing w:after="0"/>
              <w:rPr>
                <w:sz w:val="15"/>
                <w:szCs w:val="15"/>
                <w:color w:val="auto"/>
              </w:rPr>
            </w:pPr>
          </w:p>
        </w:tc>
        <w:tc>
          <w:tcPr>
            <w:tcW w:w="38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w:t>
            </w:r>
          </w:p>
        </w:tc>
        <w:tc>
          <w:tcPr>
            <w:tcW w:w="360" w:type="dxa"/>
            <w:vAlign w:val="bottom"/>
            <w:vMerge w:val="restart"/>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w:t>
            </w:r>
          </w:p>
        </w:tc>
        <w:tc>
          <w:tcPr>
            <w:tcW w:w="38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(336)</w:t>
            </w:r>
          </w:p>
        </w:tc>
        <w:tc>
          <w:tcPr>
            <w:tcW w:w="340" w:type="dxa"/>
            <w:vAlign w:val="bottom"/>
            <w:vMerge w:val="restart"/>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PAA</w:t>
            </w:r>
          </w:p>
        </w:tc>
        <w:tc>
          <w:tcPr>
            <w:tcW w:w="380" w:type="dxa"/>
            <w:vAlign w:val="bottom"/>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000" w:type="dxa"/>
            <w:vAlign w:val="bottom"/>
            <w:tcBorders>
              <w:right w:val="single" w:sz="8" w:color="CCEEFF"/>
            </w:tcBorders>
            <w:gridSpan w:val="2"/>
            <w:vMerge w:val="continue"/>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to basic net income per common unit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(0.23)</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(0.14)</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(0.72)</w:t>
            </w:r>
          </w:p>
        </w:tc>
        <w:tc>
          <w:tcPr>
            <w:tcW w:w="34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Impact to diluted net income per common unit</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CCEEFF"/>
            </w:tcBorders>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CCEEFF"/>
            </w:tcBorders>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160" w:type="dxa"/>
            <w:vAlign w:val="bottom"/>
            <w:vMerge w:val="continue"/>
          </w:tcPr>
          <w:p>
            <w:pPr>
              <w:spacing w:after="0"/>
              <w:rPr>
                <w:sz w:val="17"/>
                <w:szCs w:val="17"/>
                <w:color w:val="auto"/>
              </w:rPr>
            </w:pPr>
          </w:p>
        </w:tc>
        <w:tc>
          <w:tcPr>
            <w:tcW w:w="380" w:type="dxa"/>
            <w:vAlign w:val="bottom"/>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(0.23</w:t>
            </w:r>
          </w:p>
        </w:tc>
        <w:tc>
          <w:tcPr>
            <w:tcW w:w="360" w:type="dxa"/>
            <w:vAlign w:val="bottom"/>
            <w:vMerge w:val="continue"/>
          </w:tcPr>
          <w:p>
            <w:pPr>
              <w:spacing w:after="0"/>
              <w:rPr>
                <w:sz w:val="17"/>
                <w:szCs w:val="17"/>
                <w:color w:val="auto"/>
              </w:rPr>
            </w:pP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(0.14</w:t>
            </w:r>
          </w:p>
        </w:tc>
        <w:tc>
          <w:tcPr>
            <w:tcW w:w="320" w:type="dxa"/>
            <w:vAlign w:val="bottom"/>
            <w:vMerge w:val="continue"/>
          </w:tcPr>
          <w:p>
            <w:pPr>
              <w:spacing w:after="0"/>
              <w:rPr>
                <w:sz w:val="17"/>
                <w:szCs w:val="17"/>
                <w:color w:val="auto"/>
              </w:rPr>
            </w:pPr>
          </w:p>
        </w:tc>
        <w:tc>
          <w:tcPr>
            <w:tcW w:w="380" w:type="dxa"/>
            <w:vAlign w:val="bottom"/>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(0.71</w:t>
            </w:r>
          </w:p>
        </w:tc>
        <w:tc>
          <w:tcPr>
            <w:tcW w:w="360" w:type="dxa"/>
            <w:vAlign w:val="bottom"/>
            <w:vMerge w:val="continue"/>
          </w:tcPr>
          <w:p>
            <w:pPr>
              <w:spacing w:after="0"/>
              <w:rPr>
                <w:sz w:val="17"/>
                <w:szCs w:val="17"/>
                <w:color w:val="auto"/>
              </w:rPr>
            </w:pPr>
          </w:p>
        </w:tc>
        <w:tc>
          <w:tcPr>
            <w:tcW w:w="34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(0.71</w:t>
            </w: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480" w:hanging="472"/>
        <w:spacing w:after="0"/>
        <w:tabs>
          <w:tab w:leader="none" w:pos="48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of our non-GAAP financial measures may not be impacted by each of the selected items impacting comparability.</w:t>
      </w:r>
    </w:p>
    <w:p>
      <w:pPr>
        <w:spacing w:after="0" w:line="1" w:lineRule="exact"/>
        <w:rPr>
          <w:rFonts w:ascii="Times New Roman" w:cs="Times New Roman" w:eastAsia="Times New Roman" w:hAnsi="Times New Roman"/>
          <w:sz w:val="23"/>
          <w:szCs w:val="23"/>
          <w:color w:val="auto"/>
          <w:vertAlign w:val="superscript"/>
        </w:rPr>
      </w:pPr>
    </w:p>
    <w:p>
      <w:pPr>
        <w:ind w:left="500" w:right="100" w:hanging="492"/>
        <w:spacing w:after="0"/>
        <w:tabs>
          <w:tab w:leader="none" w:pos="48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results.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w:t>
      </w:r>
    </w:p>
    <w:p>
      <w:pPr>
        <w:spacing w:after="0" w:line="4" w:lineRule="exact"/>
        <w:rPr>
          <w:rFonts w:ascii="Times New Roman" w:cs="Times New Roman" w:eastAsia="Times New Roman" w:hAnsi="Times New Roman"/>
          <w:sz w:val="23"/>
          <w:szCs w:val="23"/>
          <w:color w:val="auto"/>
          <w:vertAlign w:val="superscript"/>
        </w:rPr>
      </w:pPr>
    </w:p>
    <w:p>
      <w:pPr>
        <w:ind w:left="500" w:right="20" w:hanging="492"/>
        <w:spacing w:after="0" w:line="237" w:lineRule="auto"/>
        <w:tabs>
          <w:tab w:leader="none" w:pos="48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1" w:lineRule="exact"/>
        <w:rPr>
          <w:rFonts w:ascii="Times New Roman" w:cs="Times New Roman" w:eastAsia="Times New Roman" w:hAnsi="Times New Roman"/>
          <w:sz w:val="23"/>
          <w:szCs w:val="23"/>
          <w:color w:val="auto"/>
          <w:vertAlign w:val="superscript"/>
        </w:rPr>
      </w:pPr>
    </w:p>
    <w:p>
      <w:pPr>
        <w:ind w:left="500" w:hanging="492"/>
        <w:spacing w:after="0" w:line="257" w:lineRule="auto"/>
        <w:tabs>
          <w:tab w:leader="none" w:pos="488"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5" w:lineRule="exact"/>
        <w:rPr>
          <w:rFonts w:ascii="Times New Roman" w:cs="Times New Roman" w:eastAsia="Times New Roman" w:hAnsi="Times New Roman"/>
          <w:sz w:val="22"/>
          <w:szCs w:val="22"/>
          <w:color w:val="auto"/>
          <w:vertAlign w:val="superscript"/>
        </w:rPr>
      </w:pPr>
    </w:p>
    <w:p>
      <w:pPr>
        <w:ind w:left="500" w:right="20" w:hanging="492"/>
        <w:spacing w:after="0" w:line="239" w:lineRule="auto"/>
        <w:tabs>
          <w:tab w:leader="none" w:pos="48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and the majority of the awards are expected to be settled in units. The portion of compensation expense associated with awards that are certain to be settled in cash is not considered a selected item impacting comparability.</w:t>
      </w:r>
    </w:p>
    <w:p>
      <w:pPr>
        <w:spacing w:after="0" w:line="2" w:lineRule="exact"/>
        <w:rPr>
          <w:rFonts w:ascii="Times New Roman" w:cs="Times New Roman" w:eastAsia="Times New Roman" w:hAnsi="Times New Roman"/>
          <w:sz w:val="23"/>
          <w:szCs w:val="23"/>
          <w:color w:val="auto"/>
          <w:vertAlign w:val="superscript"/>
        </w:rPr>
      </w:pPr>
    </w:p>
    <w:p>
      <w:pPr>
        <w:ind w:left="500" w:right="220" w:hanging="492"/>
        <w:spacing w:after="0" w:line="219" w:lineRule="auto"/>
        <w:tabs>
          <w:tab w:leader="none" w:pos="48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periods presented, there were fluctuations in the value of the Canadian dollar to the U.S. dollar, resulting in gains and losses that were not related to our core operating results for the period and were thus classified as a selected item impacting comparability.</w:t>
      </w:r>
    </w:p>
    <w:p>
      <w:pPr>
        <w:spacing w:after="0" w:line="1" w:lineRule="exact"/>
        <w:rPr>
          <w:rFonts w:ascii="Times New Roman" w:cs="Times New Roman" w:eastAsia="Times New Roman" w:hAnsi="Times New Roman"/>
          <w:sz w:val="23"/>
          <w:szCs w:val="23"/>
          <w:color w:val="auto"/>
          <w:vertAlign w:val="superscript"/>
        </w:rPr>
      </w:pPr>
    </w:p>
    <w:p>
      <w:pPr>
        <w:ind w:left="500" w:right="440" w:hanging="492"/>
        <w:spacing w:after="0" w:line="219" w:lineRule="auto"/>
        <w:tabs>
          <w:tab w:leader="none" w:pos="48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costs recognized during the period related to the Line 901 incident that occurred in May 2015, net of amounts we believe are probable of recovery from insurance.</w:t>
      </w:r>
    </w:p>
    <w:p>
      <w:pPr>
        <w:spacing w:after="0" w:line="1" w:lineRule="exact"/>
        <w:rPr>
          <w:rFonts w:ascii="Times New Roman" w:cs="Times New Roman" w:eastAsia="Times New Roman" w:hAnsi="Times New Roman"/>
          <w:sz w:val="23"/>
          <w:szCs w:val="23"/>
          <w:color w:val="auto"/>
          <w:vertAlign w:val="superscript"/>
        </w:rPr>
      </w:pPr>
    </w:p>
    <w:p>
      <w:pPr>
        <w:ind w:left="480" w:hanging="472"/>
        <w:spacing w:after="0" w:line="196" w:lineRule="auto"/>
        <w:tabs>
          <w:tab w:leader="none" w:pos="48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initial cumulative effect of a change in Canadian tax legislation impacting the period.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DATA RECONCILIATIONS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2100" w:type="dxa"/>
            <w:vAlign w:val="bottom"/>
            <w:gridSpan w:val="4"/>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60" w:type="dxa"/>
            <w:vAlign w:val="bottom"/>
            <w:gridSpan w:val="5"/>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618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right="30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1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6"/>
        </w:trPr>
        <w:tc>
          <w:tcPr>
            <w:tcW w:w="61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Income to Adjusted EBITDA and Implied DCF Reconciliations</w:t>
            </w: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tcPr>
          <w:p>
            <w:pPr>
              <w:jc w:val="right"/>
              <w:ind w:right="54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127</w:t>
            </w:r>
          </w:p>
        </w:tc>
        <w:tc>
          <w:tcPr>
            <w:tcW w:w="700" w:type="dxa"/>
            <w:vAlign w:val="bottom"/>
          </w:tcPr>
          <w:p>
            <w:pPr>
              <w:jc w:val="right"/>
              <w:ind w:right="54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248</w:t>
            </w:r>
          </w:p>
        </w:tc>
        <w:tc>
          <w:tcPr>
            <w:tcW w:w="700" w:type="dxa"/>
            <w:vAlign w:val="bottom"/>
          </w:tcPr>
          <w:p>
            <w:pPr>
              <w:jc w:val="right"/>
              <w:ind w:right="52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730</w:t>
            </w:r>
          </w:p>
        </w:tc>
        <w:tc>
          <w:tcPr>
            <w:tcW w:w="8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906</w:t>
            </w:r>
          </w:p>
        </w:tc>
      </w:tr>
      <w:tr>
        <w:trPr>
          <w:trHeight w:val="216"/>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7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127</w:t>
            </w:r>
          </w:p>
        </w:tc>
        <w:tc>
          <w:tcPr>
            <w:tcW w:w="7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111</w:t>
            </w:r>
          </w:p>
        </w:tc>
        <w:tc>
          <w:tcPr>
            <w:tcW w:w="7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467</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w:t>
            </w:r>
          </w:p>
        </w:tc>
      </w:tr>
      <w:tr>
        <w:trPr>
          <w:trHeight w:val="216"/>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72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w:t>
            </w:r>
          </w:p>
        </w:tc>
        <w:tc>
          <w:tcPr>
            <w:tcW w:w="7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143</w:t>
            </w:r>
          </w:p>
        </w:tc>
        <w:tc>
          <w:tcPr>
            <w:tcW w:w="7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113</w:t>
            </w:r>
          </w:p>
        </w:tc>
        <w:tc>
          <w:tcPr>
            <w:tcW w:w="7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w:t>
            </w:r>
          </w:p>
        </w:tc>
      </w:tr>
      <w:tr>
        <w:trPr>
          <w:trHeight w:val="216"/>
        </w:trPr>
        <w:tc>
          <w:tcPr>
            <w:tcW w:w="6180" w:type="dxa"/>
            <w:vAlign w:val="bottom"/>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Depreciation and amortization of unconsolidated entities </w:t>
            </w:r>
            <w:r>
              <w:rPr>
                <w:rFonts w:ascii="Times New Roman" w:cs="Times New Roman" w:eastAsia="Times New Roman" w:hAnsi="Times New Roman"/>
                <w:sz w:val="23"/>
                <w:szCs w:val="23"/>
                <w:color w:val="auto"/>
                <w:vertAlign w:val="superscript"/>
              </w:rPr>
              <w:t>(1)</w:t>
            </w:r>
          </w:p>
        </w:tc>
        <w:tc>
          <w:tcPr>
            <w:tcW w:w="7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r>
      <w:tr>
        <w:trPr>
          <w:trHeight w:val="97"/>
        </w:trPr>
        <w:tc>
          <w:tcPr>
            <w:tcW w:w="61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bl>
    <w:p>
      <w:pPr>
        <w:sectPr>
          <w:pgSz w:w="11900" w:h="16900" w:orient="portrait"/>
          <w:cols w:equalWidth="0" w:num="1">
            <w:col w:w="11420"/>
          </w:cols>
          <w:pgMar w:left="240" w:top="95" w:right="2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Selected items impacting comparability - Adjusted EBITDA </w:t>
            </w:r>
            <w:r>
              <w:rPr>
                <w:rFonts w:ascii="Times New Roman" w:cs="Times New Roman" w:eastAsia="Times New Roman" w:hAnsi="Times New Roman"/>
                <w:sz w:val="23"/>
                <w:szCs w:val="23"/>
                <w:color w:val="auto"/>
                <w:vertAlign w:val="superscript"/>
              </w:rPr>
              <w:t>(2)</w:t>
            </w:r>
          </w:p>
        </w:tc>
        <w:tc>
          <w:tcPr>
            <w:tcW w:w="4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179</w:t>
            </w:r>
          </w:p>
        </w:tc>
        <w:tc>
          <w:tcPr>
            <w:tcW w:w="4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403</w:t>
            </w: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shd w:val="clear" w:color="auto" w:fill="CCEEFF"/>
          </w:tcPr>
          <w:p>
            <w:pPr>
              <w:spacing w:after="0"/>
              <w:rPr>
                <w:sz w:val="22"/>
                <w:szCs w:val="22"/>
                <w:color w:val="auto"/>
              </w:rPr>
            </w:pPr>
          </w:p>
        </w:tc>
      </w:tr>
      <w:tr>
        <w:trPr>
          <w:trHeight w:val="210"/>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360" w:type="dxa"/>
            <w:vAlign w:val="bottom"/>
          </w:tcPr>
          <w:p>
            <w:pPr>
              <w:spacing w:after="0"/>
              <w:rPr>
                <w:sz w:val="18"/>
                <w:szCs w:val="18"/>
                <w:color w:val="auto"/>
              </w:rPr>
            </w:pPr>
          </w:p>
        </w:tc>
        <w:tc>
          <w:tcPr>
            <w:tcW w:w="40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320" w:type="dxa"/>
            <w:vAlign w:val="bottom"/>
          </w:tcPr>
          <w:p>
            <w:pPr>
              <w:spacing w:after="0"/>
              <w:rPr>
                <w:sz w:val="18"/>
                <w:szCs w:val="18"/>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8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Interest expense, net </w:t>
            </w:r>
            <w:r>
              <w:rPr>
                <w:rFonts w:ascii="Times New Roman" w:cs="Times New Roman" w:eastAsia="Times New Roman" w:hAnsi="Times New Roman"/>
                <w:sz w:val="23"/>
                <w:szCs w:val="23"/>
                <w:color w:val="auto"/>
                <w:vertAlign w:val="superscript"/>
              </w:rPr>
              <w:t>(3)</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(123)</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(107)</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(417)</w:t>
            </w:r>
          </w:p>
        </w:tc>
      </w:tr>
      <w:tr>
        <w:trPr>
          <w:trHeight w:val="216"/>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Maintenance capital</w:t>
            </w:r>
          </w:p>
        </w:tc>
        <w:tc>
          <w:tcPr>
            <w:tcW w:w="4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w:t>
            </w:r>
          </w:p>
        </w:tc>
        <w:tc>
          <w:tcPr>
            <w:tcW w:w="4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w:t>
            </w:r>
          </w:p>
        </w:tc>
        <w:tc>
          <w:tcPr>
            <w:tcW w:w="3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(41)</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6180" w:type="dxa"/>
            <w:vAlign w:val="bottom"/>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Adjusted equity earnings in unconsolidated entities, net of distributions </w:t>
            </w:r>
            <w:r>
              <w:rPr>
                <w:rFonts w:ascii="Times New Roman" w:cs="Times New Roman" w:eastAsia="Times New Roman" w:hAnsi="Times New Roman"/>
                <w:sz w:val="23"/>
                <w:szCs w:val="23"/>
                <w:color w:val="auto"/>
                <w:vertAlign w:val="superscript"/>
              </w:rPr>
              <w:t>(4)</w:t>
            </w:r>
          </w:p>
        </w:tc>
        <w:tc>
          <w:tcPr>
            <w:tcW w:w="4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618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Distributions to noncontrolling interests </w:t>
            </w:r>
            <w:r>
              <w:rPr>
                <w:rFonts w:ascii="Times New Roman" w:cs="Times New Roman" w:eastAsia="Times New Roman" w:hAnsi="Times New Roman"/>
                <w:sz w:val="23"/>
                <w:szCs w:val="23"/>
                <w:color w:val="auto"/>
                <w:vertAlign w:val="superscript"/>
              </w:rPr>
              <w:t>(5)</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0"/>
        </w:trPr>
        <w:tc>
          <w:tcPr>
            <w:tcW w:w="6180" w:type="dxa"/>
            <w:vAlign w:val="bottom"/>
          </w:tcPr>
          <w:p>
            <w:pPr>
              <w:spacing w:after="0" w:line="210" w:lineRule="exact"/>
              <w:rPr>
                <w:sz w:val="20"/>
                <w:szCs w:val="20"/>
                <w:color w:val="auto"/>
              </w:rPr>
            </w:pPr>
            <w:r>
              <w:rPr>
                <w:rFonts w:ascii="Times New Roman" w:cs="Times New Roman" w:eastAsia="Times New Roman" w:hAnsi="Times New Roman"/>
                <w:sz w:val="18"/>
                <w:szCs w:val="18"/>
                <w:color w:val="auto"/>
              </w:rPr>
              <w:t xml:space="preserve">Implied DCF </w:t>
            </w:r>
            <w:r>
              <w:rPr>
                <w:rFonts w:ascii="Times New Roman" w:cs="Times New Roman" w:eastAsia="Times New Roman" w:hAnsi="Times New Roman"/>
                <w:sz w:val="23"/>
                <w:szCs w:val="23"/>
                <w:color w:val="auto"/>
                <w:vertAlign w:val="superscript"/>
              </w:rPr>
              <w:t>(6)</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36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3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00" w:right="280" w:hanging="492"/>
        <w:spacing w:after="0" w:line="235" w:lineRule="auto"/>
        <w:tabs>
          <w:tab w:leader="none" w:pos="488"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Over the past several years, we have increased our participation in pipeline strategic joint venture projects, which are accounted for under the equity method of accounting. Management excludes our proportionate share of the depreciation and amortization expense associated with such unconsolidated entities when reviewing Adjusted EBITDA.</w:t>
      </w:r>
    </w:p>
    <w:p>
      <w:pPr>
        <w:spacing w:after="0" w:line="2" w:lineRule="exact"/>
        <w:rPr>
          <w:rFonts w:ascii="Times New Roman" w:cs="Times New Roman" w:eastAsia="Times New Roman" w:hAnsi="Times New Roman"/>
          <w:sz w:val="23"/>
          <w:szCs w:val="23"/>
          <w:color w:val="auto"/>
          <w:vertAlign w:val="superscript"/>
        </w:rPr>
      </w:pPr>
    </w:p>
    <w:p>
      <w:pPr>
        <w:ind w:left="480" w:hanging="472"/>
        <w:spacing w:after="0" w:line="196" w:lineRule="auto"/>
        <w:tabs>
          <w:tab w:leader="none" w:pos="48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of our non-GAAP financial measures may not be impacted by each of the selected items impacting comparability.</w:t>
      </w:r>
    </w:p>
    <w:p>
      <w:pPr>
        <w:spacing w:after="0" w:line="1" w:lineRule="exact"/>
        <w:rPr>
          <w:rFonts w:ascii="Times New Roman" w:cs="Times New Roman" w:eastAsia="Times New Roman" w:hAnsi="Times New Roman"/>
          <w:sz w:val="23"/>
          <w:szCs w:val="23"/>
          <w:color w:val="auto"/>
          <w:vertAlign w:val="superscript"/>
        </w:rPr>
      </w:pPr>
    </w:p>
    <w:p>
      <w:pPr>
        <w:ind w:left="480" w:hanging="472"/>
        <w:spacing w:after="0" w:line="194" w:lineRule="auto"/>
        <w:tabs>
          <w:tab w:leader="none" w:pos="48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certain non-cash items impacting interest expense such as amortization of debt issuance costs and terminated interest rate swaps.</w:t>
      </w:r>
    </w:p>
    <w:p>
      <w:pPr>
        <w:spacing w:after="0" w:line="2" w:lineRule="exact"/>
        <w:rPr>
          <w:rFonts w:ascii="Times New Roman" w:cs="Times New Roman" w:eastAsia="Times New Roman" w:hAnsi="Times New Roman"/>
          <w:sz w:val="23"/>
          <w:szCs w:val="23"/>
          <w:color w:val="auto"/>
          <w:vertAlign w:val="superscript"/>
        </w:rPr>
      </w:pPr>
    </w:p>
    <w:p>
      <w:pPr>
        <w:ind w:left="500" w:right="100" w:hanging="492"/>
        <w:spacing w:after="0" w:line="219" w:lineRule="auto"/>
        <w:tabs>
          <w:tab w:leader="none" w:pos="488"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Equity earnings are adjusted for our proportionate share of the depreciation and amortization of unconsolidated entities, as such expenses are excluded from the calculation of Adjusted EBITDA.</w:t>
      </w:r>
    </w:p>
    <w:p>
      <w:pPr>
        <w:ind w:left="480" w:hanging="472"/>
        <w:spacing w:after="0" w:line="196" w:lineRule="auto"/>
        <w:tabs>
          <w:tab w:leader="none" w:pos="48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distributions that pertain to the current period’s net income, which are paid in the subsequent period.</w:t>
      </w:r>
    </w:p>
    <w:p>
      <w:pPr>
        <w:spacing w:after="0" w:line="1" w:lineRule="exact"/>
        <w:rPr>
          <w:rFonts w:ascii="Times New Roman" w:cs="Times New Roman" w:eastAsia="Times New Roman" w:hAnsi="Times New Roman"/>
          <w:sz w:val="23"/>
          <w:szCs w:val="23"/>
          <w:color w:val="auto"/>
          <w:vertAlign w:val="superscript"/>
        </w:rPr>
      </w:pPr>
    </w:p>
    <w:p>
      <w:pPr>
        <w:ind w:left="500" w:right="160" w:hanging="492"/>
        <w:spacing w:after="0" w:line="219" w:lineRule="auto"/>
        <w:tabs>
          <w:tab w:leader="none" w:pos="488"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Including net costs recognized during the period related to the Line 901 incident that occurred during May 2015, Implied DCF would have been $365 million and $1,391 million for the three and twelve months ended December 31, 2015.</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COMPUTATION OF BASIC AND DILUTED ADJUSTED NET INCOME PER COMMON UNIT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b w:val="1"/>
          <w:bCs w:val="1"/>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2080" w:type="dxa"/>
            <w:vAlign w:val="bottom"/>
            <w:gridSpan w:val="4"/>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40" w:type="dxa"/>
            <w:vAlign w:val="bottom"/>
            <w:tcBorders>
              <w:bottom w:val="single" w:sz="8" w:color="auto"/>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Adjusted Net Income per Common Unit</w:t>
            </w: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700" w:type="dxa"/>
            <w:vAlign w:val="bottom"/>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126</w:t>
            </w:r>
          </w:p>
        </w:tc>
        <w:tc>
          <w:tcPr>
            <w:tcW w:w="680" w:type="dxa"/>
            <w:vAlign w:val="bottom"/>
          </w:tcPr>
          <w:p>
            <w:pPr>
              <w:jc w:val="right"/>
              <w:ind w:right="517"/>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726</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6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Selected items impacting comparability - Adjusted net income attributable to</w:t>
            </w: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60" w:type="dxa"/>
            <w:vAlign w:val="bottom"/>
            <w:shd w:val="clear" w:color="auto" w:fill="CCEEFF"/>
          </w:tcPr>
          <w:p>
            <w:pPr>
              <w:ind w:left="340"/>
              <w:spacing w:after="0" w:line="235" w:lineRule="exact"/>
              <w:rPr>
                <w:sz w:val="20"/>
                <w:szCs w:val="20"/>
                <w:color w:val="auto"/>
              </w:rPr>
            </w:pPr>
            <w:r>
              <w:rPr>
                <w:rFonts w:ascii="Times New Roman" w:cs="Times New Roman" w:eastAsia="Times New Roman" w:hAnsi="Times New Roman"/>
                <w:sz w:val="27"/>
                <w:szCs w:val="27"/>
                <w:color w:val="auto"/>
                <w:vertAlign w:val="subscript"/>
              </w:rPr>
              <w:t>PAA</w:t>
            </w:r>
            <w:r>
              <w:rPr>
                <w:rFonts w:ascii="Times New Roman" w:cs="Times New Roman" w:eastAsia="Times New Roman" w:hAnsi="Times New Roman"/>
                <w:sz w:val="10"/>
                <w:szCs w:val="10"/>
                <w:color w:val="auto"/>
              </w:rPr>
              <w:t xml:space="preserve"> (2)</w:t>
            </w:r>
          </w:p>
        </w:tc>
        <w:tc>
          <w:tcPr>
            <w:tcW w:w="7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152</w:t>
            </w:r>
          </w:p>
        </w:tc>
        <w:tc>
          <w:tcPr>
            <w:tcW w:w="68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336</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 attributable to PAA</w:t>
            </w:r>
          </w:p>
        </w:tc>
        <w:tc>
          <w:tcPr>
            <w:tcW w:w="7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3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Distributions to Series A preferred units</w:t>
            </w: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w:t>
            </w:r>
          </w:p>
        </w:tc>
        <w:tc>
          <w:tcPr>
            <w:tcW w:w="6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Distributions to general partner</w:t>
            </w:r>
          </w:p>
        </w:tc>
        <w:tc>
          <w:tcPr>
            <w:tcW w:w="700" w:type="dxa"/>
            <w:vAlign w:val="bottom"/>
          </w:tcPr>
          <w:p>
            <w:pPr>
              <w:spacing w:after="0"/>
              <w:rPr>
                <w:sz w:val="18"/>
                <w:szCs w:val="18"/>
                <w:color w:val="auto"/>
              </w:rPr>
            </w:pPr>
          </w:p>
        </w:tc>
        <w:tc>
          <w:tcPr>
            <w:tcW w:w="7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Distributions to participating securities</w:t>
            </w: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Undistributed loss allocated to general partner</w:t>
            </w:r>
          </w:p>
        </w:tc>
        <w:tc>
          <w:tcPr>
            <w:tcW w:w="700" w:type="dxa"/>
            <w:vAlign w:val="bottom"/>
          </w:tcPr>
          <w:p>
            <w:pPr>
              <w:spacing w:after="0"/>
              <w:rPr>
                <w:sz w:val="18"/>
                <w:szCs w:val="18"/>
                <w:color w:val="auto"/>
              </w:rPr>
            </w:pPr>
          </w:p>
        </w:tc>
        <w:tc>
          <w:tcPr>
            <w:tcW w:w="7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Adjusted net income allocated to common unitholders in accordance with</w:t>
            </w: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6160" w:type="dxa"/>
            <w:vAlign w:val="bottom"/>
            <w:vMerge w:val="continue"/>
          </w:tcPr>
          <w:p>
            <w:pPr>
              <w:spacing w:after="0"/>
              <w:rPr>
                <w:sz w:val="15"/>
                <w:szCs w:val="15"/>
                <w:color w:val="auto"/>
              </w:rPr>
            </w:pPr>
          </w:p>
        </w:tc>
        <w:tc>
          <w:tcPr>
            <w:tcW w:w="700" w:type="dxa"/>
            <w:vAlign w:val="bottom"/>
            <w:vMerge w:val="restart"/>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360" w:type="dxa"/>
            <w:vAlign w:val="bottom"/>
            <w:vMerge w:val="restart"/>
          </w:tcPr>
          <w:p>
            <w:pPr>
              <w:spacing w:after="0"/>
              <w:rPr>
                <w:sz w:val="15"/>
                <w:szCs w:val="15"/>
                <w:color w:val="auto"/>
              </w:rPr>
            </w:pPr>
          </w:p>
        </w:tc>
        <w:tc>
          <w:tcPr>
            <w:tcW w:w="680" w:type="dxa"/>
            <w:vAlign w:val="bottom"/>
            <w:vMerge w:val="restart"/>
          </w:tcPr>
          <w:p>
            <w:pPr>
              <w:jc w:val="right"/>
              <w:ind w:right="517"/>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320" w:type="dxa"/>
            <w:vAlign w:val="bottom"/>
            <w:vMerge w:val="restart"/>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533</w:t>
            </w:r>
          </w:p>
        </w:tc>
        <w:tc>
          <w:tcPr>
            <w:tcW w:w="4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application of the two-class method</w:t>
            </w:r>
          </w:p>
        </w:tc>
        <w:tc>
          <w:tcPr>
            <w:tcW w:w="700" w:type="dxa"/>
            <w:vAlign w:val="bottom"/>
            <w:vMerge w:val="continue"/>
          </w:tcPr>
          <w:p>
            <w:pPr>
              <w:spacing w:after="0"/>
              <w:rPr>
                <w:sz w:val="22"/>
                <w:szCs w:val="22"/>
                <w:color w:val="auto"/>
              </w:rPr>
            </w:pPr>
          </w:p>
        </w:tc>
        <w:tc>
          <w:tcPr>
            <w:tcW w:w="340" w:type="dxa"/>
            <w:vAlign w:val="bottom"/>
            <w:vMerge w:val="continue"/>
          </w:tcPr>
          <w:p>
            <w:pPr>
              <w:spacing w:after="0"/>
              <w:rPr>
                <w:sz w:val="22"/>
                <w:szCs w:val="22"/>
                <w:color w:val="auto"/>
              </w:rPr>
            </w:pPr>
          </w:p>
        </w:tc>
        <w:tc>
          <w:tcPr>
            <w:tcW w:w="360" w:type="dxa"/>
            <w:vAlign w:val="bottom"/>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360" w:type="dxa"/>
            <w:vAlign w:val="bottom"/>
            <w:vMerge w:val="continue"/>
          </w:tcPr>
          <w:p>
            <w:pPr>
              <w:spacing w:after="0"/>
              <w:rPr>
                <w:sz w:val="22"/>
                <w:szCs w:val="22"/>
                <w:color w:val="auto"/>
              </w:rPr>
            </w:pPr>
          </w:p>
        </w:tc>
        <w:tc>
          <w:tcPr>
            <w:tcW w:w="320" w:type="dxa"/>
            <w:vAlign w:val="bottom"/>
            <w:vMerge w:val="continue"/>
          </w:tcPr>
          <w:p>
            <w:pPr>
              <w:spacing w:after="0"/>
              <w:rPr>
                <w:sz w:val="22"/>
                <w:szCs w:val="22"/>
                <w:color w:val="auto"/>
              </w:rPr>
            </w:pPr>
          </w:p>
        </w:tc>
        <w:tc>
          <w:tcPr>
            <w:tcW w:w="240" w:type="dxa"/>
            <w:vAlign w:val="bottom"/>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440" w:type="dxa"/>
            <w:vAlign w:val="bottom"/>
            <w:gridSpan w:val="2"/>
            <w:vMerge w:val="continue"/>
          </w:tcPr>
          <w:p>
            <w:pPr>
              <w:spacing w:after="0"/>
              <w:rPr>
                <w:sz w:val="22"/>
                <w:szCs w:val="22"/>
                <w:color w:val="auto"/>
              </w:rPr>
            </w:pPr>
          </w:p>
        </w:tc>
        <w:tc>
          <w:tcPr>
            <w:tcW w:w="8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Basic weighted average common units outstanding </w:t>
            </w:r>
            <w:r>
              <w:rPr>
                <w:rFonts w:ascii="Times New Roman" w:cs="Times New Roman" w:eastAsia="Times New Roman" w:hAnsi="Times New Roman"/>
                <w:sz w:val="23"/>
                <w:szCs w:val="23"/>
                <w:color w:val="auto"/>
                <w:vertAlign w:val="superscript"/>
              </w:rPr>
              <w:t>(3)</w:t>
            </w:r>
          </w:p>
        </w:tc>
        <w:tc>
          <w:tcPr>
            <w:tcW w:w="700" w:type="dxa"/>
            <w:vAlign w:val="bottom"/>
          </w:tcPr>
          <w:p>
            <w:pPr>
              <w:spacing w:after="0"/>
              <w:rPr>
                <w:sz w:val="18"/>
                <w:szCs w:val="18"/>
                <w:color w:val="auto"/>
              </w:rPr>
            </w:pPr>
          </w:p>
        </w:tc>
        <w:tc>
          <w:tcPr>
            <w:tcW w:w="7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660</w:t>
            </w:r>
          </w:p>
        </w:tc>
        <w:tc>
          <w:tcPr>
            <w:tcW w:w="68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398</w:t>
            </w:r>
          </w:p>
        </w:tc>
        <w:tc>
          <w:tcPr>
            <w:tcW w:w="2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Basic adjusted net income per common unit</w:t>
            </w:r>
          </w:p>
        </w:tc>
        <w:tc>
          <w:tcPr>
            <w:tcW w:w="700" w:type="dxa"/>
            <w:vAlign w:val="bottom"/>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0.37</w:t>
            </w:r>
          </w:p>
        </w:tc>
        <w:tc>
          <w:tcPr>
            <w:tcW w:w="680" w:type="dxa"/>
            <w:vAlign w:val="bottom"/>
          </w:tcPr>
          <w:p>
            <w:pPr>
              <w:jc w:val="right"/>
              <w:ind w:right="517"/>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0.38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Adjusted Net Income per Common Unit</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70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126</w:t>
            </w:r>
          </w:p>
        </w:tc>
        <w:tc>
          <w:tcPr>
            <w:tcW w:w="680" w:type="dxa"/>
            <w:vAlign w:val="bottom"/>
            <w:shd w:val="clear" w:color="auto" w:fill="CCEEFF"/>
          </w:tcPr>
          <w:p>
            <w:pPr>
              <w:jc w:val="right"/>
              <w:ind w:right="517"/>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726</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Selected items impacting comparability - Adjusted net income attributable to</w:t>
            </w: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60" w:type="dxa"/>
            <w:vAlign w:val="bottom"/>
          </w:tcPr>
          <w:p>
            <w:pPr>
              <w:ind w:left="340"/>
              <w:spacing w:after="0" w:line="234" w:lineRule="exact"/>
              <w:rPr>
                <w:sz w:val="20"/>
                <w:szCs w:val="20"/>
                <w:color w:val="auto"/>
              </w:rPr>
            </w:pPr>
            <w:r>
              <w:rPr>
                <w:rFonts w:ascii="Times New Roman" w:cs="Times New Roman" w:eastAsia="Times New Roman" w:hAnsi="Times New Roman"/>
                <w:sz w:val="18"/>
                <w:szCs w:val="18"/>
                <w:color w:val="auto"/>
              </w:rPr>
              <w:t xml:space="preserve">PAA </w:t>
            </w:r>
            <w:r>
              <w:rPr>
                <w:rFonts w:ascii="Times New Roman" w:cs="Times New Roman" w:eastAsia="Times New Roman" w:hAnsi="Times New Roman"/>
                <w:sz w:val="23"/>
                <w:szCs w:val="23"/>
                <w:color w:val="auto"/>
                <w:vertAlign w:val="superscript"/>
              </w:rPr>
              <w:t>(2)</w:t>
            </w:r>
          </w:p>
        </w:tc>
        <w:tc>
          <w:tcPr>
            <w:tcW w:w="700" w:type="dxa"/>
            <w:vAlign w:val="bottom"/>
          </w:tcPr>
          <w:p>
            <w:pPr>
              <w:spacing w:after="0"/>
              <w:rPr>
                <w:sz w:val="20"/>
                <w:szCs w:val="20"/>
                <w:color w:val="auto"/>
              </w:rPr>
            </w:pPr>
          </w:p>
        </w:tc>
        <w:tc>
          <w:tcPr>
            <w:tcW w:w="7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152</w:t>
            </w:r>
          </w:p>
        </w:tc>
        <w:tc>
          <w:tcPr>
            <w:tcW w:w="6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attributable to PAA</w:t>
            </w: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Distributions to Series A preferred units</w:t>
            </w:r>
          </w:p>
        </w:tc>
        <w:tc>
          <w:tcPr>
            <w:tcW w:w="7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w:t>
            </w:r>
          </w:p>
        </w:tc>
        <w:tc>
          <w:tcPr>
            <w:tcW w:w="68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Distributions to general partner</w:t>
            </w: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Distributions to participating securities</w:t>
            </w:r>
          </w:p>
        </w:tc>
        <w:tc>
          <w:tcPr>
            <w:tcW w:w="700" w:type="dxa"/>
            <w:vAlign w:val="bottom"/>
          </w:tcPr>
          <w:p>
            <w:pPr>
              <w:spacing w:after="0"/>
              <w:rPr>
                <w:sz w:val="18"/>
                <w:szCs w:val="18"/>
                <w:color w:val="auto"/>
              </w:rPr>
            </w:pPr>
          </w:p>
        </w:tc>
        <w:tc>
          <w:tcPr>
            <w:tcW w:w="7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Undistributed loss allocated to general partner</w:t>
            </w: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vMerge w:val="restart"/>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Adjusted net income allocated to common unitholders in accordance with</w:t>
            </w: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6160" w:type="dxa"/>
            <w:vAlign w:val="bottom"/>
            <w:vMerge w:val="continue"/>
            <w:shd w:val="clear" w:color="auto" w:fill="CCEEFF"/>
          </w:tcPr>
          <w:p>
            <w:pPr>
              <w:spacing w:after="0"/>
              <w:rPr>
                <w:sz w:val="15"/>
                <w:szCs w:val="15"/>
                <w:color w:val="auto"/>
              </w:rPr>
            </w:pPr>
          </w:p>
        </w:tc>
        <w:tc>
          <w:tcPr>
            <w:tcW w:w="700" w:type="dxa"/>
            <w:vAlign w:val="bottom"/>
            <w:vMerge w:val="restart"/>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360" w:type="dxa"/>
            <w:vAlign w:val="bottom"/>
            <w:vMerge w:val="restart"/>
            <w:shd w:val="clear" w:color="auto" w:fill="CCEEFF"/>
          </w:tcPr>
          <w:p>
            <w:pPr>
              <w:spacing w:after="0"/>
              <w:rPr>
                <w:sz w:val="15"/>
                <w:szCs w:val="15"/>
                <w:color w:val="auto"/>
              </w:rPr>
            </w:pPr>
          </w:p>
        </w:tc>
        <w:tc>
          <w:tcPr>
            <w:tcW w:w="680" w:type="dxa"/>
            <w:vAlign w:val="bottom"/>
            <w:vMerge w:val="restart"/>
            <w:shd w:val="clear" w:color="auto" w:fill="CCEEFF"/>
          </w:tcPr>
          <w:p>
            <w:pPr>
              <w:jc w:val="right"/>
              <w:ind w:right="517"/>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320" w:type="dxa"/>
            <w:vAlign w:val="bottom"/>
            <w:vMerge w:val="restart"/>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533</w:t>
            </w:r>
          </w:p>
        </w:tc>
        <w:tc>
          <w:tcPr>
            <w:tcW w:w="4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application of the two-class method</w:t>
            </w:r>
          </w:p>
        </w:tc>
        <w:tc>
          <w:tcPr>
            <w:tcW w:w="700" w:type="dxa"/>
            <w:vAlign w:val="bottom"/>
            <w:vMerge w:val="continue"/>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Basic weighted average common units outstanding </w:t>
            </w:r>
            <w:r>
              <w:rPr>
                <w:rFonts w:ascii="Times New Roman" w:cs="Times New Roman" w:eastAsia="Times New Roman" w:hAnsi="Times New Roman"/>
                <w:sz w:val="23"/>
                <w:szCs w:val="23"/>
                <w:color w:val="auto"/>
                <w:vertAlign w:val="superscript"/>
              </w:rPr>
              <w:t>(3)</w:t>
            </w: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660</w:t>
            </w:r>
          </w:p>
        </w:tc>
        <w:tc>
          <w:tcPr>
            <w:tcW w:w="6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Effect of dilutive securities: Weighted average LTIP units </w:t>
            </w:r>
            <w:r>
              <w:rPr>
                <w:rFonts w:ascii="Times New Roman" w:cs="Times New Roman" w:eastAsia="Times New Roman" w:hAnsi="Times New Roman"/>
                <w:sz w:val="23"/>
                <w:szCs w:val="23"/>
                <w:color w:val="auto"/>
                <w:vertAlign w:val="superscript"/>
              </w:rPr>
              <w:t>(4)</w:t>
            </w:r>
          </w:p>
        </w:tc>
        <w:tc>
          <w:tcPr>
            <w:tcW w:w="700" w:type="dxa"/>
            <w:vAlign w:val="bottom"/>
          </w:tcPr>
          <w:p>
            <w:pPr>
              <w:spacing w:after="0"/>
              <w:rPr>
                <w:sz w:val="18"/>
                <w:szCs w:val="18"/>
                <w:color w:val="auto"/>
              </w:rPr>
            </w:pPr>
          </w:p>
        </w:tc>
        <w:tc>
          <w:tcPr>
            <w:tcW w:w="7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common units outstanding</w:t>
            </w:r>
          </w:p>
        </w:tc>
        <w:tc>
          <w:tcPr>
            <w:tcW w:w="70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Diluted adjusted net income per common unit </w:t>
            </w:r>
            <w:r>
              <w:rPr>
                <w:rFonts w:ascii="Times New Roman" w:cs="Times New Roman" w:eastAsia="Times New Roman" w:hAnsi="Times New Roman"/>
                <w:sz w:val="23"/>
                <w:szCs w:val="23"/>
                <w:color w:val="auto"/>
                <w:vertAlign w:val="superscript"/>
              </w:rPr>
              <w:t>(5)</w:t>
            </w:r>
          </w:p>
        </w:tc>
        <w:tc>
          <w:tcPr>
            <w:tcW w:w="70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0.37</w:t>
            </w:r>
          </w:p>
        </w:tc>
        <w:tc>
          <w:tcPr>
            <w:tcW w:w="680" w:type="dxa"/>
            <w:vAlign w:val="bottom"/>
            <w:shd w:val="clear" w:color="auto" w:fill="CCEEFF"/>
          </w:tcPr>
          <w:p>
            <w:pPr>
              <w:jc w:val="right"/>
              <w:ind w:right="517"/>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0.38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1">
            <w:col w:w="11420"/>
          </w:cols>
          <w:pgMar w:left="240" w:top="91" w:right="239" w:bottom="0" w:gutter="0" w:footer="0" w:header="0"/>
        </w:sectPr>
      </w:pPr>
    </w:p>
    <w:bookmarkStart w:id="13" w:name="page14"/>
    <w:bookmarkEnd w:id="13"/>
    <w:p>
      <w:pPr>
        <w:ind w:left="500" w:right="220" w:hanging="492"/>
        <w:spacing w:after="0" w:line="239" w:lineRule="auto"/>
        <w:tabs>
          <w:tab w:leader="none" w:pos="48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if any, are allocated to the general partner, common unitholders and participating securities in accordance with the contractual terms of our partnership agreement and as further prescribed under the two-class method.</w:t>
      </w:r>
    </w:p>
    <w:p>
      <w:pPr>
        <w:spacing w:after="0" w:line="198" w:lineRule="exact"/>
        <w:rPr>
          <w:rFonts w:ascii="Times New Roman" w:cs="Times New Roman" w:eastAsia="Times New Roman" w:hAnsi="Times New Roman"/>
          <w:sz w:val="23"/>
          <w:szCs w:val="23"/>
          <w:color w:val="auto"/>
          <w:vertAlign w:val="superscript"/>
        </w:rPr>
      </w:pPr>
    </w:p>
    <w:p>
      <w:pPr>
        <w:ind w:left="500" w:right="40"/>
        <w:spacing w:after="0" w:line="255"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Simplification Transactions, which closed on November 15, 2016, included the permanent elimination of our IDRs and the economic rights associated with our 2% general partner interest in exchange for the issuance by us of approximately 244.7 million common units and the assumption of AAP’s debt. As such, beginning with the distribution pertaining to the fourth quarter of 2016, our general partner is no longer entitled to receive distributions on the IDRs or 2% general partner interest.</w:t>
      </w:r>
    </w:p>
    <w:p>
      <w:pPr>
        <w:spacing w:after="0" w:line="2" w:lineRule="exact"/>
        <w:rPr>
          <w:rFonts w:ascii="Times New Roman" w:cs="Times New Roman" w:eastAsia="Times New Roman" w:hAnsi="Times New Roman"/>
          <w:sz w:val="23"/>
          <w:szCs w:val="23"/>
          <w:color w:val="auto"/>
          <w:vertAlign w:val="superscript"/>
        </w:rPr>
      </w:pPr>
    </w:p>
    <w:p>
      <w:pPr>
        <w:ind w:left="480" w:hanging="472"/>
        <w:spacing w:after="0" w:line="196" w:lineRule="auto"/>
        <w:tabs>
          <w:tab w:leader="none" w:pos="48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of our non-GAAP financial measures may not be impacted by each of the selected items impacting comparability.</w:t>
      </w:r>
    </w:p>
    <w:p>
      <w:pPr>
        <w:spacing w:after="0" w:line="1" w:lineRule="exact"/>
        <w:rPr>
          <w:rFonts w:ascii="Times New Roman" w:cs="Times New Roman" w:eastAsia="Times New Roman" w:hAnsi="Times New Roman"/>
          <w:sz w:val="23"/>
          <w:szCs w:val="23"/>
          <w:color w:val="auto"/>
          <w:vertAlign w:val="superscript"/>
        </w:rPr>
      </w:pPr>
    </w:p>
    <w:p>
      <w:pPr>
        <w:ind w:left="500" w:hanging="492"/>
        <w:spacing w:after="0" w:line="228" w:lineRule="auto"/>
        <w:tabs>
          <w:tab w:leader="none" w:pos="48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have considered the common units issued in connection with the Simplification Transactions to be outstanding for the entire fourth quarter of 2016 in the calculation of weighted average common units outstanding to more closely reflect the ownership interests in us with rights to the distributions for the periods included in the calculation of adjusted net income allocated to common unitholders.</w:t>
      </w:r>
    </w:p>
    <w:p>
      <w:pPr>
        <w:spacing w:after="0" w:line="2" w:lineRule="exact"/>
        <w:rPr>
          <w:rFonts w:ascii="Times New Roman" w:cs="Times New Roman" w:eastAsia="Times New Roman" w:hAnsi="Times New Roman"/>
          <w:sz w:val="23"/>
          <w:szCs w:val="23"/>
          <w:color w:val="auto"/>
          <w:vertAlign w:val="superscript"/>
        </w:rPr>
      </w:pPr>
    </w:p>
    <w:p>
      <w:pPr>
        <w:ind w:left="500" w:right="100" w:hanging="492"/>
        <w:spacing w:after="0" w:line="234" w:lineRule="auto"/>
        <w:tabs>
          <w:tab w:leader="none" w:pos="48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spacing w:after="0" w:line="1" w:lineRule="exact"/>
        <w:rPr>
          <w:rFonts w:ascii="Times New Roman" w:cs="Times New Roman" w:eastAsia="Times New Roman" w:hAnsi="Times New Roman"/>
          <w:sz w:val="23"/>
          <w:szCs w:val="23"/>
          <w:color w:val="auto"/>
          <w:vertAlign w:val="superscript"/>
        </w:rPr>
      </w:pPr>
    </w:p>
    <w:p>
      <w:pPr>
        <w:ind w:left="500" w:right="20" w:hanging="492"/>
        <w:spacing w:after="0" w:line="219" w:lineRule="auto"/>
        <w:tabs>
          <w:tab w:leader="none" w:pos="48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possible conversion of our Series A preferred units was excluded from the calculation of diluted adjusted net income per common unit for the three and twelve months ended December 31, 2016 as the effect was antidilutive.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STATEMENTS OF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PAA</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Consolidating</w:t>
            </w:r>
          </w:p>
        </w:tc>
        <w:tc>
          <w:tcPr>
            <w:tcW w:w="200" w:type="dxa"/>
            <w:vAlign w:val="bottom"/>
          </w:tcPr>
          <w:p>
            <w:pPr>
              <w:spacing w:after="0"/>
              <w:rPr>
                <w:sz w:val="10"/>
                <w:szCs w:val="10"/>
                <w:color w:val="auto"/>
              </w:rPr>
            </w:pPr>
          </w:p>
        </w:tc>
        <w:tc>
          <w:tcPr>
            <w:tcW w:w="1040" w:type="dxa"/>
            <w:vAlign w:val="bottom"/>
            <w:tcBorders>
              <w:right w:val="single" w:sz="8" w:color="auto"/>
            </w:tcBorders>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PAGP</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Consolidating</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3"/>
          </w:tcPr>
          <w:p>
            <w:pPr>
              <w:jc w:val="center"/>
              <w:ind w:right="300"/>
              <w:spacing w:after="0" w:line="173" w:lineRule="exact"/>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17"/>
                <w:szCs w:val="17"/>
                <w:b w:val="1"/>
                <w:bCs w:val="1"/>
                <w:color w:val="auto"/>
                <w:vertAlign w:val="superscript"/>
              </w:rPr>
              <w:t>(2)</w:t>
            </w:r>
          </w:p>
        </w:tc>
        <w:tc>
          <w:tcPr>
            <w:tcW w:w="200" w:type="dxa"/>
            <w:vAlign w:val="bottom"/>
          </w:tcPr>
          <w:p>
            <w:pPr>
              <w:spacing w:after="0"/>
              <w:rPr>
                <w:sz w:val="15"/>
                <w:szCs w:val="15"/>
                <w:color w:val="auto"/>
              </w:rPr>
            </w:pPr>
          </w:p>
        </w:tc>
        <w:tc>
          <w:tcPr>
            <w:tcW w:w="1040" w:type="dxa"/>
            <w:vAlign w:val="bottom"/>
            <w:tcBorders>
              <w:right w:val="single" w:sz="8" w:color="auto"/>
            </w:tcBorders>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3"/>
          </w:tcPr>
          <w:p>
            <w:pPr>
              <w:jc w:val="center"/>
              <w:ind w:right="200"/>
              <w:spacing w:after="0" w:line="173" w:lineRule="exact"/>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7"/>
                <w:szCs w:val="17"/>
                <w:b w:val="1"/>
                <w:bCs w:val="1"/>
                <w:color w:val="auto"/>
                <w:w w:val="98"/>
                <w:vertAlign w:val="superscript"/>
              </w:rPr>
              <w:t>(2)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5,952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5,952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4,996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5,234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operating costs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5,735</w:t>
            </w: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benefit/(expense)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6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income attributable to noncontrolling</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Pr>
          <w:p>
            <w:pPr>
              <w:spacing w:after="0"/>
              <w:rPr>
                <w:sz w:val="20"/>
                <w:szCs w:val="20"/>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gridSpan w:val="2"/>
            <w:vMerge w:val="restart"/>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INCOME/(LOSS) ATTRIBUTABLE</w:t>
            </w: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3360" w:type="dxa"/>
            <w:vAlign w:val="bottom"/>
            <w:gridSpan w:val="2"/>
            <w:vMerge w:val="continue"/>
            <w:shd w:val="clear" w:color="auto" w:fill="CCEEFF"/>
          </w:tcPr>
          <w:p>
            <w:pPr>
              <w:spacing w:after="0"/>
              <w:rPr>
                <w:sz w:val="15"/>
                <w:szCs w:val="15"/>
                <w:color w:val="auto"/>
              </w:rPr>
            </w:pPr>
          </w:p>
        </w:tc>
        <w:tc>
          <w:tcPr>
            <w:tcW w:w="120" w:type="dxa"/>
            <w:vAlign w:val="bottom"/>
            <w:vMerge w:val="restart"/>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(134)</w:t>
            </w:r>
          </w:p>
        </w:tc>
        <w:tc>
          <w:tcPr>
            <w:tcW w:w="20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247</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(222)</w:t>
            </w:r>
          </w:p>
        </w:tc>
        <w:tc>
          <w:tcPr>
            <w:tcW w:w="2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 PAGP</w:t>
            </w:r>
          </w:p>
        </w:tc>
        <w:tc>
          <w:tcPr>
            <w:tcW w:w="120" w:type="dxa"/>
            <w:vAlign w:val="bottom"/>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40" w:type="dxa"/>
            <w:vAlign w:val="bottom"/>
            <w:tcBorders>
              <w:right w:val="single" w:sz="8" w:color="auto"/>
            </w:tcBorders>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3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BASIC AND DILUTED NET</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INCOME/(LOSS) PER CLASS A</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40" w:type="dxa"/>
            <w:vAlign w:val="bottom"/>
            <w:tcBorders>
              <w:right w:val="single" w:sz="8" w:color="CCEEFF"/>
            </w:tcBorders>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3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BASIC AND DILUTED WEIGHTED</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AVERAGE CLASS A SHARES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0" w:gutter="0" w:footer="0" w:header="0"/>
        </w:sectPr>
      </w:pPr>
    </w:p>
    <w:bookmarkStart w:id="14" w:name="page15"/>
    <w:bookmarkEnd w:id="14"/>
    <w:p>
      <w:pPr>
        <w:spacing w:after="0" w:line="20" w:lineRule="exact"/>
        <w:rPr>
          <w:sz w:val="20"/>
          <w:szCs w:val="20"/>
          <w:color w:val="auto"/>
        </w:rPr>
      </w:pPr>
    </w:p>
    <w:p>
      <w:pPr>
        <w:ind w:left="340" w:right="100" w:hanging="332"/>
        <w:spacing w:after="0" w:line="229" w:lineRule="auto"/>
        <w:tabs>
          <w:tab w:leader="none" w:pos="32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 reverse split of PAGP’s Class A shares was completed on November 15, 2016. The effect of the reverse split has been retroactively applied to all share and per-share amounts presented.</w:t>
      </w:r>
    </w:p>
    <w:p>
      <w:pPr>
        <w:ind w:left="320" w:hanging="312"/>
        <w:spacing w:after="0" w:line="196" w:lineRule="auto"/>
        <w:tabs>
          <w:tab w:leader="none" w:pos="32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aggregate consolidating adjustments necessary to produce consolidated financial statements for PAGP.</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STATEMENTS OF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PAA</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Consolidating</w:t>
            </w:r>
          </w:p>
        </w:tc>
        <w:tc>
          <w:tcPr>
            <w:tcW w:w="200" w:type="dxa"/>
            <w:vAlign w:val="bottom"/>
          </w:tcPr>
          <w:p>
            <w:pPr>
              <w:spacing w:after="0"/>
              <w:rPr>
                <w:sz w:val="10"/>
                <w:szCs w:val="10"/>
                <w:color w:val="auto"/>
              </w:rPr>
            </w:pPr>
          </w:p>
        </w:tc>
        <w:tc>
          <w:tcPr>
            <w:tcW w:w="1040" w:type="dxa"/>
            <w:vAlign w:val="bottom"/>
            <w:tcBorders>
              <w:right w:val="single" w:sz="8" w:color="auto"/>
            </w:tcBorders>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PAGP</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PAA</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Consolidating</w:t>
            </w:r>
          </w:p>
        </w:tc>
        <w:tc>
          <w:tcPr>
            <w:tcW w:w="200" w:type="dxa"/>
            <w:vAlign w:val="bottom"/>
          </w:tcPr>
          <w:p>
            <w:pPr>
              <w:spacing w:after="0"/>
              <w:rPr>
                <w:sz w:val="10"/>
                <w:szCs w:val="10"/>
                <w:color w:val="auto"/>
              </w:rPr>
            </w:pPr>
          </w:p>
        </w:tc>
        <w:tc>
          <w:tcPr>
            <w:tcW w:w="9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3"/>
          </w:tcPr>
          <w:p>
            <w:pPr>
              <w:jc w:val="center"/>
              <w:ind w:right="300"/>
              <w:spacing w:after="0" w:line="173" w:lineRule="exact"/>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17"/>
                <w:szCs w:val="17"/>
                <w:b w:val="1"/>
                <w:bCs w:val="1"/>
                <w:color w:val="auto"/>
                <w:vertAlign w:val="superscript"/>
              </w:rPr>
              <w:t>(2)</w:t>
            </w:r>
          </w:p>
        </w:tc>
        <w:tc>
          <w:tcPr>
            <w:tcW w:w="200" w:type="dxa"/>
            <w:vAlign w:val="bottom"/>
          </w:tcPr>
          <w:p>
            <w:pPr>
              <w:spacing w:after="0"/>
              <w:rPr>
                <w:sz w:val="15"/>
                <w:szCs w:val="15"/>
                <w:color w:val="auto"/>
              </w:rPr>
            </w:pPr>
          </w:p>
        </w:tc>
        <w:tc>
          <w:tcPr>
            <w:tcW w:w="1040" w:type="dxa"/>
            <w:vAlign w:val="bottom"/>
            <w:tcBorders>
              <w:right w:val="single" w:sz="8" w:color="auto"/>
            </w:tcBorders>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3"/>
          </w:tcPr>
          <w:p>
            <w:pPr>
              <w:jc w:val="center"/>
              <w:ind w:right="280"/>
              <w:spacing w:after="0" w:line="173" w:lineRule="exact"/>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7"/>
                <w:szCs w:val="17"/>
                <w:b w:val="1"/>
                <w:bCs w:val="1"/>
                <w:color w:val="auto"/>
                <w:w w:val="98"/>
                <w:vertAlign w:val="superscript"/>
              </w:rPr>
              <w:t>(2)</w:t>
            </w:r>
          </w:p>
        </w:tc>
        <w:tc>
          <w:tcPr>
            <w:tcW w:w="2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20,182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20,182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23,152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17,233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operating costs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1,182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19,192</w:t>
            </w: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benefit/(expense)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income attributable to noncontrolling</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(562)</w:t>
            </w:r>
          </w:p>
        </w:tc>
        <w:tc>
          <w:tcPr>
            <w:tcW w:w="200" w:type="dxa"/>
            <w:vAlign w:val="bottom"/>
          </w:tcPr>
          <w:p>
            <w:pPr>
              <w:spacing w:after="0"/>
              <w:rPr>
                <w:sz w:val="20"/>
                <w:szCs w:val="20"/>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(688)</w:t>
            </w:r>
          </w:p>
        </w:tc>
        <w:tc>
          <w:tcPr>
            <w:tcW w:w="2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vMerge w:val="restart"/>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ATTRIBUTABLE TO</w:t>
            </w: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vMerge w:val="continue"/>
            <w:shd w:val="clear" w:color="auto" w:fill="CCEEFF"/>
          </w:tcPr>
          <w:p>
            <w:pPr>
              <w:spacing w:after="0"/>
              <w:rPr>
                <w:sz w:val="15"/>
                <w:szCs w:val="15"/>
                <w:color w:val="auto"/>
              </w:rPr>
            </w:pPr>
          </w:p>
        </w:tc>
        <w:tc>
          <w:tcPr>
            <w:tcW w:w="160" w:type="dxa"/>
            <w:vAlign w:val="bottom"/>
            <w:vMerge w:val="restart"/>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726</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(632)</w:t>
            </w:r>
          </w:p>
        </w:tc>
        <w:tc>
          <w:tcPr>
            <w:tcW w:w="20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Borders>
              <w:right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903</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(785)</w:t>
            </w:r>
          </w:p>
        </w:tc>
        <w:tc>
          <w:tcPr>
            <w:tcW w:w="20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PAGP</w:t>
            </w:r>
          </w:p>
        </w:tc>
        <w:tc>
          <w:tcPr>
            <w:tcW w:w="160" w:type="dxa"/>
            <w:vAlign w:val="bottom"/>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20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260" w:type="dxa"/>
            <w:vAlign w:val="bottom"/>
            <w:tcBorders>
              <w:right w:val="single" w:sz="8" w:color="CCEEFF"/>
            </w:tcBorders>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3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BASIC AND DILUTED NET INCOME</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0.94</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20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PER CLASS A SHARE</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40" w:type="dxa"/>
            <w:vAlign w:val="bottom"/>
            <w:tcBorders>
              <w:right w:val="single" w:sz="8" w:color="CCEEFF"/>
            </w:tcBorders>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3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BASIC AND DILUTED WEIGHTED</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AVERAGE CLASS A SHARES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40" w:right="100" w:hanging="332"/>
        <w:spacing w:after="0" w:line="229" w:lineRule="auto"/>
        <w:tabs>
          <w:tab w:leader="none" w:pos="328"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 reverse split of PAGP’s Class A shares was completed on November 15, 2016. The effect of the reverse split has been retroactively applied to all share and per-share amounts presented.</w:t>
      </w:r>
    </w:p>
    <w:p>
      <w:pPr>
        <w:ind w:left="320" w:hanging="312"/>
        <w:spacing w:after="0" w:line="196" w:lineRule="auto"/>
        <w:tabs>
          <w:tab w:leader="none" w:pos="32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aggregate consolidating adjustments necessary to produce consolidated financial statements for PAGP.</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BALANCE SHEET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ectPr>
          <w:pgSz w:w="11900" w:h="16858" w:orient="portrait"/>
          <w:cols w:equalWidth="0" w:num="1">
            <w:col w:w="11420"/>
          </w:cols>
          <w:pgMar w:left="240" w:top="121" w:right="239" w:bottom="0" w:gutter="0" w:footer="0" w:header="0"/>
        </w:sectPr>
      </w:pPr>
    </w:p>
    <w:p>
      <w:pPr>
        <w:spacing w:after="0" w:line="200" w:lineRule="exact"/>
        <w:rPr>
          <w:sz w:val="20"/>
          <w:szCs w:val="20"/>
          <w:color w:val="auto"/>
        </w:rPr>
      </w:pPr>
    </w:p>
    <w:p>
      <w:pPr>
        <w:ind w:left="4800"/>
        <w:spacing w:after="0"/>
        <w:tabs>
          <w:tab w:leader="none" w:pos="8880" w:val="left"/>
        </w:tabs>
        <w:rPr>
          <w:sz w:val="20"/>
          <w:szCs w:val="20"/>
          <w:color w:val="auto"/>
        </w:rPr>
      </w:pPr>
      <w:r>
        <w:rPr>
          <w:rFonts w:ascii="Times New Roman" w:cs="Times New Roman" w:eastAsia="Times New Roman" w:hAnsi="Times New Roman"/>
          <w:sz w:val="14"/>
          <w:szCs w:val="14"/>
          <w:b w:val="1"/>
          <w:bCs w:val="1"/>
          <w:color w:val="auto"/>
        </w:rPr>
        <w:t>December 31, 2016</w:t>
      </w:r>
      <w:r>
        <w:rPr>
          <w:sz w:val="20"/>
          <w:szCs w:val="20"/>
          <w:color w:val="auto"/>
        </w:rPr>
        <w:tab/>
      </w:r>
      <w:r>
        <w:rPr>
          <w:rFonts w:ascii="Times New Roman" w:cs="Times New Roman" w:eastAsia="Times New Roman" w:hAnsi="Times New Roman"/>
          <w:sz w:val="14"/>
          <w:szCs w:val="14"/>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7620</wp:posOffset>
            </wp:positionV>
            <wp:extent cx="4965700"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965700" cy="19050"/>
                    </a:xfrm>
                    <a:prstGeom prst="rect">
                      <a:avLst/>
                    </a:prstGeom>
                    <a:noFill/>
                  </pic:spPr>
                </pic:pic>
              </a:graphicData>
            </a:graphic>
          </wp:anchor>
        </w:drawing>
      </w:r>
    </w:p>
    <w:p>
      <w:pPr>
        <w:sectPr>
          <w:pgSz w:w="11900" w:h="16858" w:orient="portrait"/>
          <w:cols w:equalWidth="0" w:num="1">
            <w:col w:w="11420"/>
          </w:cols>
          <w:pgMar w:left="240" w:top="121" w:right="239" w:bottom="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Borders>
              <w:right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PAGP</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3"/>
          </w:tcPr>
          <w:p>
            <w:pPr>
              <w:jc w:val="right"/>
              <w:ind w:right="260"/>
              <w:spacing w:after="0" w:line="173" w:lineRule="exact"/>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17"/>
                <w:szCs w:val="17"/>
                <w:b w:val="1"/>
                <w:bCs w:val="1"/>
                <w:color w:val="auto"/>
                <w:vertAlign w:val="superscript"/>
              </w:rPr>
              <w:t>(1)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gridSpan w:val="3"/>
          </w:tcPr>
          <w:p>
            <w:pPr>
              <w:jc w:val="right"/>
              <w:ind w:right="360"/>
              <w:spacing w:after="0" w:line="173" w:lineRule="exact"/>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17"/>
                <w:szCs w:val="17"/>
                <w:b w:val="1"/>
                <w:bCs w:val="1"/>
                <w:color w:val="auto"/>
                <w:vertAlign w:val="superscript"/>
              </w:rPr>
              <w:t>(1)</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right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4,272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4,275</w:t>
            </w:r>
          </w:p>
        </w:tc>
        <w:tc>
          <w:tcPr>
            <w:tcW w:w="180" w:type="dxa"/>
            <w:vAlign w:val="bottom"/>
          </w:tcPr>
          <w:p>
            <w:pPr>
              <w:spacing w:after="0"/>
              <w:rPr>
                <w:sz w:val="18"/>
                <w:szCs w:val="18"/>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2,969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gridSpan w:val="2"/>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13,872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13,890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13,474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2,344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2,405</w:t>
            </w:r>
          </w:p>
        </w:tc>
        <w:tc>
          <w:tcPr>
            <w:tcW w:w="1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2,343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Linefill and base gas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inventory</w:t>
            </w: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 net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24,210</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26,103</w:t>
            </w:r>
          </w:p>
        </w:tc>
        <w:tc>
          <w:tcPr>
            <w:tcW w:w="220" w:type="dxa"/>
            <w:vAlign w:val="bottom"/>
            <w:tcBorders>
              <w:bottom w:val="single" w:sz="8" w:color="CCEEFF"/>
              <w:right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22,288</w:t>
            </w:r>
          </w:p>
        </w:tc>
        <w:tc>
          <w:tcPr>
            <w:tcW w:w="2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24,142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4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AND PARTNERS’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4,664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4,666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Senior notes, net of unamortized discounts and</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debt issuance costs</w:t>
            </w:r>
          </w:p>
        </w:tc>
        <w:tc>
          <w:tcPr>
            <w:tcW w:w="2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9,874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9,874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9,698</w:t>
            </w:r>
          </w:p>
        </w:tc>
        <w:tc>
          <w:tcPr>
            <w:tcW w:w="10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9,698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long-term debt, net of unamortized debt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issuance costs</w:t>
            </w: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557</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 and deferred credits</w:t>
            </w: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15,396</w:t>
            </w:r>
          </w:p>
        </w:tc>
        <w:tc>
          <w:tcPr>
            <w:tcW w:w="220" w:type="dxa"/>
            <w:vAlign w:val="bottom"/>
            <w:tcBorders>
              <w:top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14,349</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Partners’ capital excluding noncontrolling</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interests</w:t>
            </w: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8,759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(7,022)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1,737</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7,881</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(6,119)</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8,970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partners’ capital</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10,707</w:t>
            </w:r>
          </w:p>
        </w:tc>
        <w:tc>
          <w:tcPr>
            <w:tcW w:w="220" w:type="dxa"/>
            <w:vAlign w:val="bottom"/>
            <w:tcBorders>
              <w:top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26,103</w:t>
            </w:r>
          </w:p>
        </w:tc>
        <w:tc>
          <w:tcPr>
            <w:tcW w:w="2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22,288</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24,142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aggregate consolidating adjustments necessary to produce consolidated financial statements for PAGP.</w:t>
      </w:r>
    </w:p>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20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COMPUTATION OF BASIC AND DILUTED NET INCOME PER CLASS A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73"/>
        </w:trPr>
        <w:tc>
          <w:tcPr>
            <w:tcW w:w="5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32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40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5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and Diluted Net Income per Class A Share</w:t>
            </w:r>
          </w:p>
        </w:tc>
        <w:tc>
          <w:tcPr>
            <w:tcW w:w="5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income/(loss) attributable to PAGP</w:t>
            </w:r>
          </w:p>
        </w:tc>
        <w:tc>
          <w:tcPr>
            <w:tcW w:w="134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760" w:type="dxa"/>
            <w:vAlign w:val="bottom"/>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Pr>
          <w:p>
            <w:pPr>
              <w:spacing w:after="0"/>
              <w:rPr>
                <w:sz w:val="18"/>
                <w:szCs w:val="18"/>
                <w:color w:val="auto"/>
              </w:rPr>
            </w:pP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5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 and diluted weighted average Class A shares outstanding</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101</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5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 and diluted net income/(loss) per Class A share</w:t>
            </w:r>
          </w:p>
        </w:tc>
        <w:tc>
          <w:tcPr>
            <w:tcW w:w="1340" w:type="dxa"/>
            <w:vAlign w:val="bottom"/>
            <w:gridSpan w:val="2"/>
            <w:shd w:val="clear" w:color="auto" w:fill="CCEEFF"/>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(0.08)</w:t>
            </w:r>
          </w:p>
        </w:tc>
        <w:tc>
          <w:tcPr>
            <w:tcW w:w="76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0.29</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0.94</w:t>
            </w:r>
          </w:p>
        </w:tc>
        <w:tc>
          <w:tcPr>
            <w:tcW w:w="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40" w:right="140" w:hanging="332"/>
        <w:spacing w:after="0" w:line="229" w:lineRule="auto"/>
        <w:tabs>
          <w:tab w:leader="none" w:pos="32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 reverse split of PAGP’s Class A shares was completed on November 15, 2016. The effect of the reverse split has been retroactively applied to all share and per-share amounts presented.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Contacts:</w:t>
            </w:r>
          </w:p>
        </w:tc>
        <w:tc>
          <w:tcPr>
            <w:tcW w:w="22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4"/>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Ryan Smith</w:t>
            </w:r>
          </w:p>
        </w:tc>
        <w:tc>
          <w:tcPr>
            <w:tcW w:w="22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Al Swanson</w:t>
            </w:r>
          </w:p>
        </w:tc>
        <w:tc>
          <w:tcPr>
            <w:tcW w:w="4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Investor Relations</w:t>
            </w:r>
          </w:p>
        </w:tc>
        <w:tc>
          <w:tcPr>
            <w:tcW w:w="68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Executive Vice President, CFO</w:t>
            </w:r>
          </w:p>
        </w:tc>
        <w:tc>
          <w:tcPr>
            <w:tcW w:w="40" w:type="dxa"/>
            <w:vAlign w:val="bottom"/>
          </w:tcPr>
          <w:p>
            <w:pPr>
              <w:spacing w:after="0"/>
              <w:rPr>
                <w:sz w:val="18"/>
                <w:szCs w:val="18"/>
                <w:color w:val="auto"/>
              </w:rPr>
            </w:pPr>
          </w:p>
        </w:tc>
      </w:tr>
      <w:tr>
        <w:trPr>
          <w:trHeight w:val="234"/>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(866) 809-1291</w:t>
            </w:r>
          </w:p>
        </w:tc>
        <w:tc>
          <w:tcPr>
            <w:tcW w:w="68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(800) 564-3036</w:t>
            </w:r>
          </w:p>
        </w:tc>
        <w:tc>
          <w:tcPr>
            <w:tcW w:w="40" w:type="dxa"/>
            <w:vAlign w:val="bottom"/>
          </w:tcPr>
          <w:p>
            <w:pPr>
              <w:spacing w:after="0"/>
              <w:rPr>
                <w:sz w:val="20"/>
                <w:szCs w:val="20"/>
                <w:color w:val="auto"/>
              </w:rPr>
            </w:pPr>
          </w:p>
        </w:tc>
      </w:tr>
      <w:tr>
        <w:trPr>
          <w:trHeight w:val="432"/>
        </w:trPr>
        <w:tc>
          <w:tcPr>
            <w:tcW w:w="6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22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
        </w:trPr>
        <w:tc>
          <w:tcPr>
            <w:tcW w:w="64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2"/>
        </w:trPr>
        <w:tc>
          <w:tcPr>
            <w:tcW w:w="640" w:type="dxa"/>
            <w:vAlign w:val="bottom"/>
          </w:tcPr>
          <w:p>
            <w:pPr>
              <w:spacing w:after="0"/>
              <w:rPr>
                <w:sz w:val="20"/>
                <w:szCs w:val="20"/>
                <w:color w:val="auto"/>
              </w:rPr>
            </w:pPr>
          </w:p>
        </w:tc>
        <w:tc>
          <w:tcPr>
            <w:tcW w:w="3960" w:type="dxa"/>
            <w:vAlign w:val="bottom"/>
          </w:tcPr>
          <w:p>
            <w:pPr>
              <w:ind w:left="166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tc>
        <w:tc>
          <w:tcPr>
            <w:tcW w:w="22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Houston, Texas 77002</w:t>
            </w:r>
          </w:p>
        </w:tc>
        <w:tc>
          <w:tcPr>
            <w:tcW w:w="4600" w:type="dxa"/>
            <w:vAlign w:val="bottom"/>
          </w:tcPr>
          <w:p>
            <w:pPr>
              <w:jc w:val="right"/>
              <w:ind w:right="2210"/>
              <w:spacing w:after="0"/>
              <w:rPr>
                <w:sz w:val="20"/>
                <w:szCs w:val="20"/>
                <w:color w:val="auto"/>
              </w:rPr>
            </w:pPr>
            <w:r>
              <w:rPr>
                <w:rFonts w:ascii="Times New Roman" w:cs="Times New Roman" w:eastAsia="Times New Roman" w:hAnsi="Times New Roman"/>
                <w:sz w:val="18"/>
                <w:szCs w:val="18"/>
                <w:b w:val="1"/>
                <w:bCs w:val="1"/>
                <w:color w:val="auto"/>
              </w:rPr>
              <w:t>713-646-4100 / 866-809-1291</w:t>
            </w:r>
          </w:p>
        </w:tc>
        <w:tc>
          <w:tcPr>
            <w:tcW w:w="40" w:type="dxa"/>
            <w:vAlign w:val="bottom"/>
          </w:tcPr>
          <w:p>
            <w:pPr>
              <w:spacing w:after="0"/>
              <w:rPr>
                <w:sz w:val="20"/>
                <w:szCs w:val="20"/>
                <w:color w:val="auto"/>
              </w:rPr>
            </w:pPr>
          </w:p>
        </w:tc>
      </w:tr>
      <w:tr>
        <w:trPr>
          <w:trHeight w:val="326"/>
        </w:trPr>
        <w:tc>
          <w:tcPr>
            <w:tcW w:w="640" w:type="dxa"/>
            <w:vAlign w:val="bottom"/>
            <w:tcBorders>
              <w:bottom w:val="single" w:sz="8" w:color="808080"/>
            </w:tcBorders>
          </w:tcPr>
          <w:p>
            <w:pPr>
              <w:spacing w:after="0"/>
              <w:rPr>
                <w:sz w:val="24"/>
                <w:szCs w:val="24"/>
                <w:color w:val="auto"/>
              </w:rPr>
            </w:pPr>
          </w:p>
        </w:tc>
        <w:tc>
          <w:tcPr>
            <w:tcW w:w="396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tcPr>
          <w:p>
            <w:pPr>
              <w:spacing w:after="0"/>
              <w:rPr>
                <w:sz w:val="24"/>
                <w:szCs w:val="24"/>
                <w:color w:val="auto"/>
              </w:rPr>
            </w:pPr>
          </w:p>
        </w:tc>
        <w:tc>
          <w:tcPr>
            <w:tcW w:w="46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02"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o"/>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2020-01-16T06:27:03Z</dcterms:created>
  <dcterms:modified xsi:type="dcterms:W3CDTF">2020-01-16T06:27:03Z</dcterms:modified>
</cp:coreProperties>
</file>