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Goebel Jeremy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PLAINS ALL AMERICAN PIPELINE LP</w:t>
              </w:r>
            </w:hyperlink>
            <w:r>
              <w:rPr/>
              <w:t xml:space="preserve"> [ </w:t>
            </w:r>
            <w:r>
              <w:rPr>
                <w:rFonts w:ascii="Times;serif" w:hAnsi="Times;serif"/>
                <w:color w:val="0000FF"/>
                <w:sz w:val="24"/>
                <w:shd w:fill="FFFFFF" w:val="clear"/>
              </w:rPr>
              <w:t>PAA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5"/>
        <w:gridCol w:w="922"/>
        <w:gridCol w:w="792"/>
        <w:gridCol w:w="612"/>
        <w:gridCol w:w="342"/>
        <w:gridCol w:w="1012"/>
        <w:gridCol w:w="425"/>
        <w:gridCol w:w="751"/>
        <w:gridCol w:w="1122"/>
        <w:gridCol w:w="971"/>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140,691</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640,691</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252,112</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23.45</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388,579</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388,579</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388,579</w:t>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907,515</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Limited Partnership</w:t>
            </w:r>
          </w:p>
        </w:tc>
      </w:tr>
    </w:tbl>
    <w:tbl>
      <w:tblPr>
        <w:tblW w:w="1285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140,691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113,600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Units granted under Long-Term Incentive Plan (includes distribution equivalent rights payable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 common unit is deliverable, upon vesting, for each Phantom Unit that vests.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phantom units will vest as follows: (a) Tranche 1, consisting of 56,800 phantom units, will vest on the August 2029 distribution date assuming continued service through such date; (b) Tranche 2, consisting of 28,400 phantom units (assuming 100% payout at target), will potentially vest on the August 2029 distribution date at a scaled payout range of between 0% to 200% based on PAA's total shareholder return (TSR) over the three-year period ending June 30, 2029 compared to the TSR of a selected peer group (payout based on numeric rank with 100% earned at median and interpolation between ranks, and with payout being subject to reduction by up to 25 basis points, but not below 100%, if actual TSR is negative);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 Tranche 3, consisting of 28,400 phantom units (assuming 100% payout at target), will potentially vest on the Aug. 2029 distribution date at a scaled payout range of between 0% and 200% based on PAA achieving cumul. distributable cash flow (DCF) per common unit equivalent (CUE) of $9.10 over the 3-year period ending 6/30/29 (with payout equaling 100% at cumul. DCF/CUE over such period of $9.10 and being equal to 0% for cumul. DCF/CUE over such period of $8.19 or lower and 200% for cumul. DCF/CUE over such period of $10.01 or higher), with interpolation btw. such points, and with payout being subject to reduction by 25 basis pts. if PAA's leverage ratio (long term debt to adj. EBITDA as calculated pursuant to PAA's sr. unsecured revolving credit facility) as of 6/30/29 is greater than the leverage ratio that equals the upper end of our then applicable non-rating agency target leverage ratio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DERs associated with Tranche 1 will accrue for the first year and be paid in cash in a lump sum on the August 2029 distribution date; beginning in November 2027, DERs associated with Tranche 1 will be paid quarterly until the phantom units vest or terminate. DERs associated with Tranches 2 and 3 will accrue during the three-year vesting period and be paid in cash in a lump sum on the August 2029 distribution date with respect to each phantom unit that vests, if any, on such date. Any Tranche 2 or Tranche 3 phantom units that are determined to not have vested as of the August 2029 distribution date shall expire as of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F. Gullion,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9336" TargetMode="External"/><Relationship Id="rId5" Type="http://schemas.openxmlformats.org/officeDocument/2006/relationships/hyperlink" Target="http://www.sec.gov/cgi-bin/browse-edgar?action=getcompany&amp;CIK=00010704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1076</Words>
  <Characters>5566</Characters>
  <CharactersWithSpaces>6501</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