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 xml:space="preserve">Date of Report (Date of earliest event reported) — </w:t>
      </w:r>
      <w:r>
        <w:rPr>
          <w:rFonts w:ascii="Arial" w:cs="Arial" w:eastAsia="Arial" w:hAnsi="Arial"/>
          <w:sz w:val="18"/>
          <w:szCs w:val="18"/>
          <w:b w:val="1"/>
          <w:bCs w:val="1"/>
          <w:color w:val="auto"/>
        </w:rPr>
        <w:t>May 8, 2018</w:t>
      </w:r>
    </w:p>
    <w:p>
      <w:pPr>
        <w:spacing w:after="0" w:line="202"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Plains All American Pipeline, L.P.</w:t>
      </w:r>
    </w:p>
    <w:p>
      <w:pPr>
        <w:spacing w:after="0" w:line="4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48" w:orient="portrait"/>
          <w:cols w:equalWidth="0" w:num="1">
            <w:col w:w="11300"/>
          </w:cols>
          <w:pgMar w:left="240" w:top="544" w:right="359" w:bottom="0" w:gutter="0" w:footer="0" w:header="0"/>
        </w:sectPr>
      </w:pPr>
    </w:p>
    <w:p>
      <w:pPr>
        <w:spacing w:after="0" w:line="205"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920"/>
        <w:spacing w:after="0"/>
        <w:rPr>
          <w:sz w:val="20"/>
          <w:szCs w:val="20"/>
          <w:color w:val="auto"/>
        </w:rPr>
      </w:pPr>
      <w:r>
        <w:rPr>
          <w:rFonts w:ascii="Arial" w:cs="Arial" w:eastAsia="Arial" w:hAnsi="Arial"/>
          <w:sz w:val="18"/>
          <w:szCs w:val="18"/>
          <w:b w:val="1"/>
          <w:bCs w:val="1"/>
          <w:color w:val="auto"/>
        </w:rPr>
        <w:t>1-14569</w:t>
      </w:r>
    </w:p>
    <w:p>
      <w:pPr>
        <w:spacing w:after="0" w:line="27" w:lineRule="exact"/>
        <w:rPr>
          <w:sz w:val="24"/>
          <w:szCs w:val="24"/>
          <w:color w:val="auto"/>
        </w:rPr>
      </w:pPr>
    </w:p>
    <w:p>
      <w:pPr>
        <w:jc w:val="center"/>
        <w:ind w:right="9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460"/>
        <w:spacing w:after="0"/>
        <w:rPr>
          <w:sz w:val="20"/>
          <w:szCs w:val="20"/>
          <w:color w:val="auto"/>
        </w:rPr>
      </w:pPr>
      <w:r>
        <w:rPr>
          <w:rFonts w:ascii="Arial" w:cs="Arial" w:eastAsia="Arial" w:hAnsi="Arial"/>
          <w:sz w:val="18"/>
          <w:szCs w:val="18"/>
          <w:b w:val="1"/>
          <w:bCs w:val="1"/>
          <w:color w:val="auto"/>
        </w:rPr>
        <w:t>76-0582150</w:t>
      </w:r>
    </w:p>
    <w:p>
      <w:pPr>
        <w:spacing w:after="0" w:line="27" w:lineRule="exact"/>
        <w:rPr>
          <w:sz w:val="24"/>
          <w:szCs w:val="24"/>
          <w:color w:val="auto"/>
        </w:rPr>
      </w:pPr>
    </w:p>
    <w:p>
      <w:pPr>
        <w:jc w:val="center"/>
        <w:ind w:right="46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48" w:orient="portrait"/>
          <w:cols w:equalWidth="0" w:num="3">
            <w:col w:w="4020" w:space="720"/>
            <w:col w:w="2900" w:space="720"/>
            <w:col w:w="2940"/>
          </w:cols>
          <w:pgMar w:left="240" w:top="544" w:right="359" w:bottom="0" w:gutter="0" w:footer="0" w:header="0"/>
          <w:type w:val="continuous"/>
        </w:sectPr>
      </w:pPr>
    </w:p>
    <w:p>
      <w:pPr>
        <w:ind w:left="132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ind w:left="3800"/>
        <w:spacing w:after="0"/>
        <w:rPr>
          <w:sz w:val="20"/>
          <w:szCs w:val="20"/>
          <w:color w:val="auto"/>
        </w:rPr>
      </w:pPr>
      <w:r>
        <w:rPr>
          <w:rFonts w:ascii="Arial" w:cs="Arial" w:eastAsia="Arial" w:hAnsi="Arial"/>
          <w:sz w:val="18"/>
          <w:szCs w:val="18"/>
          <w:b w:val="1"/>
          <w:bCs w:val="1"/>
          <w:color w:val="auto"/>
        </w:rPr>
        <w:t>333 Clay Street, Suite 1600, Houston, Texas 77002</w:t>
      </w:r>
    </w:p>
    <w:p>
      <w:pPr>
        <w:spacing w:after="0" w:line="27" w:lineRule="exact"/>
        <w:rPr>
          <w:sz w:val="24"/>
          <w:szCs w:val="24"/>
          <w:color w:val="auto"/>
        </w:rPr>
      </w:pPr>
    </w:p>
    <w:p>
      <w:pPr>
        <w:ind w:left="3860"/>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139"/>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713-646-4100</w:t>
      </w:r>
    </w:p>
    <w:p>
      <w:pPr>
        <w:sectPr>
          <w:pgSz w:w="11900" w:h="16848" w:orient="portrait"/>
          <w:cols w:equalWidth="0" w:num="1">
            <w:col w:w="11300"/>
          </w:cols>
          <w:pgMar w:left="240" w:top="544" w:right="359" w:bottom="0" w:gutter="0" w:footer="0" w:header="0"/>
          <w:type w:val="continuous"/>
        </w:sectPr>
      </w:pPr>
    </w:p>
    <w:p>
      <w:pPr>
        <w:spacing w:after="0" w:line="200" w:lineRule="exact"/>
        <w:rPr>
          <w:sz w:val="24"/>
          <w:szCs w:val="24"/>
          <w:color w:val="auto"/>
        </w:rPr>
      </w:pPr>
    </w:p>
    <w:p>
      <w:pPr>
        <w:spacing w:after="0" w:line="268"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3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o</w:t>
      </w:r>
    </w:p>
    <w:p>
      <w:pPr>
        <w:spacing w:after="0" w:line="22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2.02 and Item 7.01. Results of Operations and Financial Condition; Regulation FD Disclosure.</w:t>
      </w:r>
    </w:p>
    <w:p>
      <w:pPr>
        <w:spacing w:after="0" w:line="229" w:lineRule="exact"/>
        <w:rPr>
          <w:sz w:val="24"/>
          <w:szCs w:val="24"/>
          <w:color w:val="auto"/>
        </w:rPr>
      </w:pPr>
    </w:p>
    <w:p>
      <w:pPr>
        <w:ind w:firstLine="648"/>
        <w:spacing w:after="0" w:line="302" w:lineRule="auto"/>
        <w:rPr>
          <w:sz w:val="20"/>
          <w:szCs w:val="20"/>
          <w:color w:val="auto"/>
        </w:rPr>
      </w:pPr>
      <w:r>
        <w:rPr>
          <w:rFonts w:ascii="Arial" w:cs="Arial" w:eastAsia="Arial" w:hAnsi="Arial"/>
          <w:sz w:val="16"/>
          <w:szCs w:val="16"/>
          <w:color w:val="auto"/>
        </w:rPr>
        <w:t>On May 8, 2018, the Registrant issued a press release reporting its first-quarter 2018 results. A copy of the press release is furnished as Exhibit 99.1 hereto. In accordance with General Instruction B.2 of Form 8-K, the information presented herein under Item 2.02 and Item 7.01 shall not be deemed “filed” for the purpose of Section 18 of the Securities Exchange Act of 1934, as amended, or otherwise subject to the liabilities of that section, nor shall such information be deemed incorporated by reference into any filing under the Securities Act of 1933 or the Securities Exchange Act of 1934, each as amended.</w:t>
      </w:r>
    </w:p>
    <w:p>
      <w:pPr>
        <w:spacing w:after="0" w:line="150" w:lineRule="exact"/>
        <w:rPr>
          <w:sz w:val="24"/>
          <w:szCs w:val="24"/>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5"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(d) Exhibits</w:t>
      </w:r>
    </w:p>
    <w:p>
      <w:pPr>
        <w:spacing w:after="0" w:line="229" w:lineRule="exact"/>
        <w:rPr>
          <w:sz w:val="24"/>
          <w:szCs w:val="24"/>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 xml:space="preserve">Exhibit 99.1 — </w:t>
      </w:r>
      <w:hyperlink w:anchor="page2">
        <w:r>
          <w:rPr>
            <w:rFonts w:ascii="Arial" w:cs="Arial" w:eastAsia="Arial" w:hAnsi="Arial"/>
            <w:sz w:val="18"/>
            <w:szCs w:val="18"/>
            <w:u w:val="single" w:color="auto"/>
            <w:color w:val="0000EE"/>
          </w:rPr>
          <w:t>Press Release dated May 8, 2018</w:t>
        </w:r>
      </w:hyperlink>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4"/>
          <w:szCs w:val="24"/>
          <w:color w:val="auto"/>
        </w:rPr>
      </w:pPr>
    </w:p>
    <w:p>
      <w:pPr>
        <w:ind w:right="30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ectPr>
          <w:pgSz w:w="11900" w:h="16848" w:orient="portrait"/>
          <w:cols w:equalWidth="0" w:num="1">
            <w:col w:w="11300"/>
          </w:cols>
          <w:pgMar w:left="240" w:top="544"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3520" w:type="dxa"/>
            <w:vAlign w:val="bottom"/>
          </w:tcPr>
          <w:p>
            <w:pPr>
              <w:spacing w:after="0"/>
              <w:rPr>
                <w:sz w:val="20"/>
                <w:szCs w:val="20"/>
                <w:color w:val="auto"/>
              </w:rPr>
            </w:pPr>
          </w:p>
        </w:tc>
        <w:tc>
          <w:tcPr>
            <w:tcW w:w="7900" w:type="dxa"/>
            <w:vAlign w:val="bottom"/>
            <w:gridSpan w:val="3"/>
          </w:tcPr>
          <w:p>
            <w:pPr>
              <w:ind w:left="2200"/>
              <w:spacing w:after="0"/>
              <w:rPr>
                <w:sz w:val="20"/>
                <w:szCs w:val="20"/>
                <w:color w:val="auto"/>
              </w:rPr>
            </w:pPr>
            <w:r>
              <w:rPr>
                <w:rFonts w:ascii="Arial" w:cs="Arial" w:eastAsia="Arial" w:hAnsi="Arial"/>
                <w:sz w:val="18"/>
                <w:szCs w:val="18"/>
                <w:color w:val="auto"/>
              </w:rPr>
              <w:t>PLAINS ALL AMERICAN PIPELINE, L.P.</w:t>
            </w:r>
          </w:p>
        </w:tc>
        <w:tc>
          <w:tcPr>
            <w:tcW w:w="40" w:type="dxa"/>
            <w:vAlign w:val="bottom"/>
          </w:tcPr>
          <w:p>
            <w:pPr>
              <w:spacing w:after="0"/>
              <w:rPr>
                <w:sz w:val="20"/>
                <w:szCs w:val="20"/>
                <w:color w:val="auto"/>
              </w:rPr>
            </w:pPr>
          </w:p>
        </w:tc>
      </w:tr>
      <w:tr>
        <w:trPr>
          <w:trHeight w:val="432"/>
        </w:trPr>
        <w:tc>
          <w:tcPr>
            <w:tcW w:w="3520" w:type="dxa"/>
            <w:vAlign w:val="bottom"/>
          </w:tcPr>
          <w:p>
            <w:pPr>
              <w:spacing w:after="0"/>
              <w:rPr>
                <w:sz w:val="24"/>
                <w:szCs w:val="24"/>
                <w:color w:val="auto"/>
              </w:rPr>
            </w:pPr>
          </w:p>
        </w:tc>
        <w:tc>
          <w:tcPr>
            <w:tcW w:w="2720" w:type="dxa"/>
            <w:vAlign w:val="bottom"/>
          </w:tcPr>
          <w:p>
            <w:pPr>
              <w:ind w:left="2200"/>
              <w:spacing w:after="0"/>
              <w:rPr>
                <w:sz w:val="20"/>
                <w:szCs w:val="20"/>
                <w:color w:val="auto"/>
              </w:rPr>
            </w:pPr>
            <w:r>
              <w:rPr>
                <w:rFonts w:ascii="Arial" w:cs="Arial" w:eastAsia="Arial" w:hAnsi="Arial"/>
                <w:sz w:val="18"/>
                <w:szCs w:val="18"/>
                <w:color w:val="auto"/>
              </w:rPr>
              <w:t>By:</w:t>
            </w:r>
          </w:p>
        </w:tc>
        <w:tc>
          <w:tcPr>
            <w:tcW w:w="5180" w:type="dxa"/>
            <w:vAlign w:val="bottom"/>
            <w:gridSpan w:val="2"/>
          </w:tcPr>
          <w:p>
            <w:pPr>
              <w:spacing w:after="0"/>
              <w:rPr>
                <w:sz w:val="20"/>
                <w:szCs w:val="20"/>
                <w:color w:val="auto"/>
              </w:rPr>
            </w:pPr>
            <w:r>
              <w:rPr>
                <w:rFonts w:ascii="Arial" w:cs="Arial" w:eastAsia="Arial" w:hAnsi="Arial"/>
                <w:sz w:val="18"/>
                <w:szCs w:val="18"/>
                <w:color w:val="auto"/>
              </w:rPr>
              <w:t>PAA GP LLC, its general partner</w:t>
            </w:r>
          </w:p>
        </w:tc>
        <w:tc>
          <w:tcPr>
            <w:tcW w:w="40" w:type="dxa"/>
            <w:vAlign w:val="bottom"/>
          </w:tcPr>
          <w:p>
            <w:pPr>
              <w:spacing w:after="0"/>
              <w:rPr>
                <w:sz w:val="24"/>
                <w:szCs w:val="24"/>
                <w:color w:val="auto"/>
              </w:rPr>
            </w:pPr>
          </w:p>
        </w:tc>
      </w:tr>
      <w:tr>
        <w:trPr>
          <w:trHeight w:val="432"/>
        </w:trPr>
        <w:tc>
          <w:tcPr>
            <w:tcW w:w="3520" w:type="dxa"/>
            <w:vAlign w:val="bottom"/>
          </w:tcPr>
          <w:p>
            <w:pPr>
              <w:spacing w:after="0"/>
              <w:rPr>
                <w:sz w:val="24"/>
                <w:szCs w:val="24"/>
                <w:color w:val="auto"/>
              </w:rPr>
            </w:pPr>
          </w:p>
        </w:tc>
        <w:tc>
          <w:tcPr>
            <w:tcW w:w="2720" w:type="dxa"/>
            <w:vAlign w:val="bottom"/>
          </w:tcPr>
          <w:p>
            <w:pPr>
              <w:ind w:left="2200"/>
              <w:spacing w:after="0"/>
              <w:rPr>
                <w:sz w:val="20"/>
                <w:szCs w:val="20"/>
                <w:color w:val="auto"/>
              </w:rPr>
            </w:pPr>
            <w:r>
              <w:rPr>
                <w:rFonts w:ascii="Arial" w:cs="Arial" w:eastAsia="Arial" w:hAnsi="Arial"/>
                <w:sz w:val="18"/>
                <w:szCs w:val="18"/>
                <w:color w:val="auto"/>
              </w:rPr>
              <w:t>By:</w:t>
            </w:r>
          </w:p>
        </w:tc>
        <w:tc>
          <w:tcPr>
            <w:tcW w:w="5180" w:type="dxa"/>
            <w:vAlign w:val="bottom"/>
            <w:gridSpan w:val="2"/>
          </w:tcPr>
          <w:p>
            <w:pPr>
              <w:spacing w:after="0"/>
              <w:rPr>
                <w:sz w:val="20"/>
                <w:szCs w:val="20"/>
                <w:color w:val="auto"/>
              </w:rPr>
            </w:pPr>
            <w:r>
              <w:rPr>
                <w:rFonts w:ascii="Arial" w:cs="Arial" w:eastAsia="Arial" w:hAnsi="Arial"/>
                <w:sz w:val="18"/>
                <w:szCs w:val="18"/>
                <w:color w:val="auto"/>
              </w:rPr>
              <w:t>PLAINS AAP, L.P., its sole member</w:t>
            </w:r>
          </w:p>
        </w:tc>
        <w:tc>
          <w:tcPr>
            <w:tcW w:w="40" w:type="dxa"/>
            <w:vAlign w:val="bottom"/>
          </w:tcPr>
          <w:p>
            <w:pPr>
              <w:spacing w:after="0"/>
              <w:rPr>
                <w:sz w:val="24"/>
                <w:szCs w:val="24"/>
                <w:color w:val="auto"/>
              </w:rPr>
            </w:pPr>
          </w:p>
        </w:tc>
      </w:tr>
      <w:tr>
        <w:trPr>
          <w:trHeight w:val="432"/>
        </w:trPr>
        <w:tc>
          <w:tcPr>
            <w:tcW w:w="3520" w:type="dxa"/>
            <w:vAlign w:val="bottom"/>
          </w:tcPr>
          <w:p>
            <w:pPr>
              <w:spacing w:after="0"/>
              <w:rPr>
                <w:sz w:val="24"/>
                <w:szCs w:val="24"/>
                <w:color w:val="auto"/>
              </w:rPr>
            </w:pPr>
          </w:p>
        </w:tc>
        <w:tc>
          <w:tcPr>
            <w:tcW w:w="2720" w:type="dxa"/>
            <w:vAlign w:val="bottom"/>
          </w:tcPr>
          <w:p>
            <w:pPr>
              <w:ind w:left="2200"/>
              <w:spacing w:after="0"/>
              <w:rPr>
                <w:sz w:val="20"/>
                <w:szCs w:val="20"/>
                <w:color w:val="auto"/>
              </w:rPr>
            </w:pPr>
            <w:r>
              <w:rPr>
                <w:rFonts w:ascii="Arial" w:cs="Arial" w:eastAsia="Arial" w:hAnsi="Arial"/>
                <w:sz w:val="18"/>
                <w:szCs w:val="18"/>
                <w:color w:val="auto"/>
              </w:rPr>
              <w:t>By:</w:t>
            </w:r>
          </w:p>
        </w:tc>
        <w:tc>
          <w:tcPr>
            <w:tcW w:w="5180" w:type="dxa"/>
            <w:vAlign w:val="bottom"/>
            <w:gridSpan w:val="2"/>
          </w:tcPr>
          <w:p>
            <w:pPr>
              <w:spacing w:after="0"/>
              <w:rPr>
                <w:sz w:val="20"/>
                <w:szCs w:val="20"/>
                <w:color w:val="auto"/>
              </w:rPr>
            </w:pPr>
            <w:r>
              <w:rPr>
                <w:rFonts w:ascii="Arial" w:cs="Arial" w:eastAsia="Arial" w:hAnsi="Arial"/>
                <w:sz w:val="18"/>
                <w:szCs w:val="18"/>
                <w:color w:val="auto"/>
              </w:rPr>
              <w:t>PLAINS ALL AMERICAN GP LLC, its general partner</w:t>
            </w:r>
          </w:p>
        </w:tc>
        <w:tc>
          <w:tcPr>
            <w:tcW w:w="40" w:type="dxa"/>
            <w:vAlign w:val="bottom"/>
          </w:tcPr>
          <w:p>
            <w:pPr>
              <w:spacing w:after="0"/>
              <w:rPr>
                <w:sz w:val="24"/>
                <w:szCs w:val="24"/>
                <w:color w:val="auto"/>
              </w:rPr>
            </w:pPr>
          </w:p>
        </w:tc>
      </w:tr>
      <w:tr>
        <w:trPr>
          <w:trHeight w:val="432"/>
        </w:trPr>
        <w:tc>
          <w:tcPr>
            <w:tcW w:w="3520" w:type="dxa"/>
            <w:vAlign w:val="bottom"/>
          </w:tcPr>
          <w:p>
            <w:pPr>
              <w:spacing w:after="0"/>
              <w:rPr>
                <w:sz w:val="20"/>
                <w:szCs w:val="20"/>
                <w:color w:val="auto"/>
              </w:rPr>
            </w:pPr>
            <w:r>
              <w:rPr>
                <w:rFonts w:ascii="Arial" w:cs="Arial" w:eastAsia="Arial" w:hAnsi="Arial"/>
                <w:sz w:val="18"/>
                <w:szCs w:val="18"/>
                <w:color w:val="auto"/>
              </w:rPr>
              <w:t>Date: May 8, 2018</w:t>
            </w:r>
          </w:p>
        </w:tc>
        <w:tc>
          <w:tcPr>
            <w:tcW w:w="2720" w:type="dxa"/>
            <w:vAlign w:val="bottom"/>
          </w:tcPr>
          <w:p>
            <w:pPr>
              <w:ind w:left="2200"/>
              <w:spacing w:after="0"/>
              <w:rPr>
                <w:sz w:val="20"/>
                <w:szCs w:val="20"/>
                <w:color w:val="auto"/>
              </w:rPr>
            </w:pPr>
            <w:r>
              <w:rPr>
                <w:rFonts w:ascii="Arial" w:cs="Arial" w:eastAsia="Arial" w:hAnsi="Arial"/>
                <w:sz w:val="18"/>
                <w:szCs w:val="18"/>
                <w:color w:val="auto"/>
              </w:rPr>
              <w:t>By:</w:t>
            </w:r>
          </w:p>
        </w:tc>
        <w:tc>
          <w:tcPr>
            <w:tcW w:w="51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Sharon Spurlin</w:t>
            </w:r>
          </w:p>
        </w:tc>
        <w:tc>
          <w:tcPr>
            <w:tcW w:w="40" w:type="dxa"/>
            <w:vAlign w:val="bottom"/>
          </w:tcPr>
          <w:p>
            <w:pPr>
              <w:spacing w:after="0"/>
              <w:rPr>
                <w:sz w:val="24"/>
                <w:szCs w:val="24"/>
                <w:color w:val="auto"/>
              </w:rPr>
            </w:pPr>
          </w:p>
        </w:tc>
      </w:tr>
      <w:tr>
        <w:trPr>
          <w:trHeight w:val="195"/>
        </w:trPr>
        <w:tc>
          <w:tcPr>
            <w:tcW w:w="35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560" w:type="dxa"/>
            <w:vAlign w:val="bottom"/>
          </w:tcPr>
          <w:p>
            <w:pPr>
              <w:ind w:left="140"/>
              <w:spacing w:after="0" w:line="195" w:lineRule="exact"/>
              <w:rPr>
                <w:sz w:val="20"/>
                <w:szCs w:val="20"/>
                <w:color w:val="auto"/>
              </w:rPr>
            </w:pPr>
            <w:r>
              <w:rPr>
                <w:rFonts w:ascii="Arial" w:cs="Arial" w:eastAsia="Arial" w:hAnsi="Arial"/>
                <w:sz w:val="18"/>
                <w:szCs w:val="18"/>
                <w:color w:val="auto"/>
              </w:rPr>
              <w:t>Sharon Spurlin</w:t>
            </w:r>
          </w:p>
        </w:tc>
        <w:tc>
          <w:tcPr>
            <w:tcW w:w="40" w:type="dxa"/>
            <w:vAlign w:val="bottom"/>
          </w:tcPr>
          <w:p>
            <w:pPr>
              <w:spacing w:after="0"/>
              <w:rPr>
                <w:sz w:val="16"/>
                <w:szCs w:val="16"/>
                <w:color w:val="auto"/>
              </w:rPr>
            </w:pPr>
          </w:p>
        </w:tc>
      </w:tr>
      <w:tr>
        <w:trPr>
          <w:trHeight w:val="230"/>
        </w:trPr>
        <w:tc>
          <w:tcPr>
            <w:tcW w:w="35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560" w:type="dxa"/>
            <w:vAlign w:val="bottom"/>
          </w:tcPr>
          <w:p>
            <w:pPr>
              <w:ind w:left="140"/>
              <w:spacing w:after="0"/>
              <w:rPr>
                <w:sz w:val="20"/>
                <w:szCs w:val="20"/>
                <w:color w:val="auto"/>
              </w:rPr>
            </w:pPr>
            <w:r>
              <w:rPr>
                <w:rFonts w:ascii="Arial" w:cs="Arial" w:eastAsia="Arial" w:hAnsi="Arial"/>
                <w:sz w:val="18"/>
                <w:szCs w:val="18"/>
                <w:i w:val="1"/>
                <w:iCs w:val="1"/>
                <w:color w:val="auto"/>
              </w:rPr>
              <w:t>Vice President and Treasurer</w:t>
            </w:r>
          </w:p>
        </w:tc>
        <w:tc>
          <w:tcPr>
            <w:tcW w:w="40" w:type="dxa"/>
            <w:vAlign w:val="bottom"/>
          </w:tcPr>
          <w:p>
            <w:pPr>
              <w:spacing w:after="0"/>
              <w:rPr>
                <w:sz w:val="20"/>
                <w:szCs w:val="20"/>
                <w:color w:val="auto"/>
              </w:rPr>
            </w:pPr>
          </w:p>
        </w:tc>
      </w:tr>
      <w:tr>
        <w:trPr>
          <w:trHeight w:val="432"/>
        </w:trPr>
        <w:tc>
          <w:tcPr>
            <w:tcW w:w="3520" w:type="dxa"/>
            <w:vAlign w:val="bottom"/>
          </w:tcPr>
          <w:p>
            <w:pPr>
              <w:spacing w:after="0"/>
              <w:rPr>
                <w:sz w:val="24"/>
                <w:szCs w:val="24"/>
                <w:color w:val="auto"/>
              </w:rPr>
            </w:pPr>
          </w:p>
        </w:tc>
        <w:tc>
          <w:tcPr>
            <w:tcW w:w="2720" w:type="dxa"/>
            <w:vAlign w:val="bottom"/>
          </w:tcPr>
          <w:p>
            <w:pPr>
              <w:ind w:left="2140"/>
              <w:spacing w:after="0"/>
              <w:rPr>
                <w:sz w:val="20"/>
                <w:szCs w:val="20"/>
                <w:color w:val="auto"/>
              </w:rPr>
            </w:pPr>
            <w:r>
              <w:rPr>
                <w:rFonts w:ascii="Arial" w:cs="Arial" w:eastAsia="Arial" w:hAnsi="Arial"/>
                <w:sz w:val="18"/>
                <w:szCs w:val="18"/>
                <w:color w:val="auto"/>
              </w:rPr>
              <w:t>3</w:t>
            </w:r>
          </w:p>
        </w:tc>
        <w:tc>
          <w:tcPr>
            <w:tcW w:w="6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520" w:type="dxa"/>
            <w:vAlign w:val="bottom"/>
            <w:tcBorders>
              <w:bottom w:val="single" w:sz="8" w:color="808080"/>
            </w:tcBorders>
          </w:tcPr>
          <w:p>
            <w:pPr>
              <w:spacing w:after="0"/>
              <w:rPr>
                <w:sz w:val="11"/>
                <w:szCs w:val="11"/>
                <w:color w:val="auto"/>
              </w:rPr>
            </w:pPr>
          </w:p>
        </w:tc>
        <w:tc>
          <w:tcPr>
            <w:tcW w:w="272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45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154940</wp:posOffset>
            </wp:positionV>
            <wp:extent cx="5857240" cy="7543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57240"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 IMMEDIATE RELEASE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Plains GP Holdings Report First-Quarter 2018 Results</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(Houston — May 8, 2018) Plains All American Pipeline, L.P. (NYSE: PAA) and Plains GP Holdings (NYSE: PAGP) today reported first-quarter 2018 results.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First-Quarter Highlights</w:t>
      </w:r>
    </w:p>
    <w:p>
      <w:pPr>
        <w:spacing w:after="0" w:line="229" w:lineRule="exact"/>
        <w:rPr>
          <w:sz w:val="20"/>
          <w:szCs w:val="20"/>
          <w:color w:val="auto"/>
        </w:rPr>
      </w:pPr>
    </w:p>
    <w:p>
      <w:pPr>
        <w:ind w:left="1260" w:hanging="280"/>
        <w:spacing w:after="0"/>
        <w:tabs>
          <w:tab w:leader="none" w:pos="1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Delivered 1Q18 financial and operating results slightly ahead of expectations</w:t>
      </w:r>
    </w:p>
    <w:p>
      <w:pPr>
        <w:spacing w:after="0" w:line="225" w:lineRule="exact"/>
        <w:rPr>
          <w:rFonts w:ascii="Arial" w:cs="Arial" w:eastAsia="Arial" w:hAnsi="Arial"/>
          <w:sz w:val="18"/>
          <w:szCs w:val="18"/>
          <w:color w:val="auto"/>
        </w:rPr>
      </w:pPr>
    </w:p>
    <w:p>
      <w:pPr>
        <w:ind w:left="1300" w:right="520" w:hanging="320"/>
        <w:spacing w:after="0" w:line="277" w:lineRule="auto"/>
        <w:tabs>
          <w:tab w:leader="none" w:pos="1264" w:val="left"/>
        </w:tabs>
        <w:numPr>
          <w:ilvl w:val="0"/>
          <w:numId w:val="2"/>
        </w:numPr>
        <w:rPr>
          <w:rFonts w:ascii="Arial" w:cs="Arial" w:eastAsia="Arial" w:hAnsi="Arial"/>
          <w:sz w:val="18"/>
          <w:szCs w:val="18"/>
          <w:color w:val="auto"/>
        </w:rPr>
      </w:pPr>
      <w:r>
        <w:rPr>
          <w:rFonts w:ascii="Arial" w:cs="Arial" w:eastAsia="Arial" w:hAnsi="Arial"/>
          <w:sz w:val="18"/>
          <w:szCs w:val="18"/>
          <w:color w:val="auto"/>
        </w:rPr>
        <w:t>Approximately $60 million year-over-year fee-based Segment Adjusted EBITDA growth ($80 million when taking into consideration impact of divested assets)</w:t>
      </w:r>
    </w:p>
    <w:p>
      <w:pPr>
        <w:spacing w:after="0" w:line="170" w:lineRule="exact"/>
        <w:rPr>
          <w:rFonts w:ascii="Arial" w:cs="Arial" w:eastAsia="Arial" w:hAnsi="Arial"/>
          <w:sz w:val="18"/>
          <w:szCs w:val="18"/>
          <w:color w:val="auto"/>
        </w:rPr>
      </w:pPr>
    </w:p>
    <w:p>
      <w:pPr>
        <w:ind w:left="1260" w:hanging="280"/>
        <w:spacing w:after="0"/>
        <w:tabs>
          <w:tab w:leader="none" w:pos="1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target with leverage reduction plans and execution of expansion capital program</w:t>
      </w:r>
    </w:p>
    <w:p>
      <w:pPr>
        <w:spacing w:after="0" w:line="225" w:lineRule="exact"/>
        <w:rPr>
          <w:rFonts w:ascii="Arial" w:cs="Arial" w:eastAsia="Arial" w:hAnsi="Arial"/>
          <w:sz w:val="18"/>
          <w:szCs w:val="18"/>
          <w:color w:val="auto"/>
        </w:rPr>
      </w:pPr>
    </w:p>
    <w:p>
      <w:pPr>
        <w:ind w:left="1260" w:hanging="280"/>
        <w:spacing w:after="0"/>
        <w:tabs>
          <w:tab w:leader="none" w:pos="1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Reiterated 2018 guidance, expect full-year common unit distribution coverage of ~170%</w:t>
      </w:r>
    </w:p>
    <w:p>
      <w:pPr>
        <w:spacing w:after="0" w:line="225" w:lineRule="exact"/>
        <w:rPr>
          <w:rFonts w:ascii="Arial" w:cs="Arial" w:eastAsia="Arial" w:hAnsi="Arial"/>
          <w:sz w:val="18"/>
          <w:szCs w:val="18"/>
          <w:color w:val="auto"/>
        </w:rPr>
      </w:pPr>
    </w:p>
    <w:p>
      <w:pPr>
        <w:ind w:left="1260" w:hanging="280"/>
        <w:spacing w:after="0"/>
        <w:tabs>
          <w:tab w:leader="none" w:pos="1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Continue to expect 14-15% fee-based Segment Adjusted EBITDA growth in 2019</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“We are pleased to report first-quarter results that were slightly ahead of our expectations,” stated Willie Chiang, Executive Vice President and Chief Operating Officer of Plains All American Pipeline. “These results reflect year-over-year Adjusted EBITDA growth in our fee-based segments of approximately 13%, or 18% when taking into consideration divested assets.”</w:t>
      </w:r>
    </w:p>
    <w:p>
      <w:pPr>
        <w:spacing w:after="0" w:line="181"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“We continue to make progress towards the execution of our strategic plans. We remain on track to achieve our deleveraging objectives and targeted credit metrics by early 2019 while maintaining substantial distribution coverage underpinned by predominantly fee-based cash flow. Additionally, strong Permian fundamentals provide visibility for continued momentum for PAA’s fee-based growth, further complemented by the execution of our capital program.”</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Financial Information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60" w:type="dxa"/>
            <w:vAlign w:val="bottom"/>
            <w:gridSpan w:val="3"/>
          </w:tcPr>
          <w:p>
            <w:pPr>
              <w:jc w:val="center"/>
              <w:ind w:left="418"/>
              <w:spacing w:after="0"/>
              <w:rPr>
                <w:sz w:val="20"/>
                <w:szCs w:val="20"/>
                <w:color w:val="auto"/>
              </w:rPr>
            </w:pPr>
            <w:r>
              <w:rPr>
                <w:rFonts w:ascii="Arial" w:cs="Arial" w:eastAsia="Arial" w:hAnsi="Arial"/>
                <w:sz w:val="14"/>
                <w:szCs w:val="14"/>
                <w:b w:val="1"/>
                <w:bCs w:val="1"/>
                <w:color w:val="auto"/>
                <w:w w:val="95"/>
              </w:rPr>
              <w:t>Three Months Ended</w:t>
            </w: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tcPr>
          <w:p>
            <w:pPr>
              <w:jc w:val="center"/>
              <w:ind w:left="418"/>
              <w:spacing w:after="0"/>
              <w:rPr>
                <w:sz w:val="20"/>
                <w:szCs w:val="20"/>
                <w:color w:val="auto"/>
              </w:rPr>
            </w:pPr>
            <w:r>
              <w:rPr>
                <w:rFonts w:ascii="Arial" w:cs="Arial" w:eastAsia="Arial" w:hAnsi="Arial"/>
                <w:sz w:val="14"/>
                <w:szCs w:val="14"/>
                <w:b w:val="1"/>
                <w:bCs w:val="1"/>
                <w:color w:val="auto"/>
                <w:w w:val="99"/>
              </w:rPr>
              <w:t>March 31,</w:t>
            </w:r>
          </w:p>
        </w:tc>
        <w:tc>
          <w:tcPr>
            <w:tcW w:w="8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180" w:type="dxa"/>
            <w:vAlign w:val="bottom"/>
          </w:tcPr>
          <w:p>
            <w:pPr>
              <w:spacing w:after="0" w:line="142" w:lineRule="exact"/>
              <w:rPr>
                <w:sz w:val="20"/>
                <w:szCs w:val="20"/>
                <w:color w:val="auto"/>
              </w:rPr>
            </w:pPr>
            <w:r>
              <w:rPr>
                <w:rFonts w:ascii="Arial" w:cs="Arial" w:eastAsia="Arial" w:hAnsi="Arial"/>
                <w:sz w:val="14"/>
                <w:szCs w:val="14"/>
                <w:b w:val="1"/>
                <w:bCs w:val="1"/>
                <w:color w:val="auto"/>
              </w:rPr>
              <w:t>GAAP Results</w:t>
            </w: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jc w:val="right"/>
              <w:ind w:right="478"/>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20" w:type="dxa"/>
            <w:vAlign w:val="bottom"/>
          </w:tcPr>
          <w:p>
            <w:pPr>
              <w:jc w:val="right"/>
              <w:ind w:right="434"/>
              <w:spacing w:after="0" w:line="142" w:lineRule="exact"/>
              <w:rPr>
                <w:sz w:val="20"/>
                <w:szCs w:val="20"/>
                <w:color w:val="auto"/>
              </w:rPr>
            </w:pPr>
            <w:r>
              <w:rPr>
                <w:rFonts w:ascii="Arial" w:cs="Arial" w:eastAsia="Arial" w:hAnsi="Arial"/>
                <w:sz w:val="14"/>
                <w:szCs w:val="14"/>
                <w:b w:val="1"/>
                <w:bCs w:val="1"/>
                <w:color w:val="auto"/>
                <w:w w:val="89"/>
              </w:rPr>
              <w:t>2017</w:t>
            </w:r>
          </w:p>
        </w:tc>
        <w:tc>
          <w:tcPr>
            <w:tcW w:w="300" w:type="dxa"/>
            <w:vAlign w:val="bottom"/>
          </w:tcPr>
          <w:p>
            <w:pPr>
              <w:spacing w:after="0"/>
              <w:rPr>
                <w:sz w:val="12"/>
                <w:szCs w:val="12"/>
                <w:color w:val="auto"/>
              </w:rPr>
            </w:pPr>
          </w:p>
        </w:tc>
        <w:tc>
          <w:tcPr>
            <w:tcW w:w="1640" w:type="dxa"/>
            <w:vAlign w:val="bottom"/>
            <w:gridSpan w:val="2"/>
          </w:tcPr>
          <w:p>
            <w:pPr>
              <w:jc w:val="center"/>
              <w:ind w:right="190"/>
              <w:spacing w:after="0" w:line="142" w:lineRule="exact"/>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210"/>
        </w:trPr>
        <w:tc>
          <w:tcPr>
            <w:tcW w:w="6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2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3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Diluted net income per common unit</w:t>
            </w:r>
          </w:p>
        </w:tc>
        <w:tc>
          <w:tcPr>
            <w:tcW w:w="62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0.33</w:t>
            </w:r>
          </w:p>
        </w:tc>
        <w:tc>
          <w:tcPr>
            <w:tcW w:w="520" w:type="dxa"/>
            <w:vAlign w:val="bottom"/>
          </w:tcPr>
          <w:p>
            <w:pPr>
              <w:jc w:val="right"/>
              <w:ind w:right="36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0.58</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common units outstanding</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727</w:t>
            </w: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758</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0"/>
        </w:trPr>
        <w:tc>
          <w:tcPr>
            <w:tcW w:w="6180" w:type="dxa"/>
            <w:vAlign w:val="bottom"/>
          </w:tcPr>
          <w:p>
            <w:pPr>
              <w:spacing w:after="0"/>
              <w:rPr>
                <w:sz w:val="20"/>
                <w:szCs w:val="20"/>
                <w:color w:val="auto"/>
              </w:rPr>
            </w:pPr>
            <w:r>
              <w:rPr>
                <w:rFonts w:ascii="Arial" w:cs="Arial" w:eastAsia="Arial" w:hAnsi="Arial"/>
                <w:sz w:val="18"/>
                <w:szCs w:val="18"/>
                <w:color w:val="auto"/>
              </w:rPr>
              <w:t>Distribution per common unit declared for the period</w:t>
            </w:r>
          </w:p>
        </w:tc>
        <w:tc>
          <w:tcPr>
            <w:tcW w:w="3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0.30</w:t>
            </w:r>
          </w:p>
        </w:tc>
        <w:tc>
          <w:tcPr>
            <w:tcW w:w="28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ind w:right="3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0.55</w:t>
            </w:r>
          </w:p>
        </w:tc>
        <w:tc>
          <w:tcPr>
            <w:tcW w:w="30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280" w:type="dxa"/>
            <w:vAlign w:val="bottom"/>
          </w:tcPr>
          <w:p>
            <w:pPr>
              <w:jc w:val="right"/>
              <w:spacing w:after="0"/>
              <w:rPr>
                <w:sz w:val="20"/>
                <w:szCs w:val="20"/>
                <w:color w:val="auto"/>
              </w:rPr>
            </w:pPr>
            <w:r>
              <w:rPr>
                <w:rFonts w:ascii="Arial" w:cs="Arial" w:eastAsia="Arial" w:hAnsi="Arial"/>
                <w:sz w:val="18"/>
                <w:szCs w:val="18"/>
                <w:color w:val="auto"/>
                <w:w w:val="81"/>
              </w:rPr>
              <w:t>)%</w:t>
            </w:r>
          </w:p>
        </w:tc>
        <w:tc>
          <w:tcPr>
            <w:tcW w:w="0" w:type="dxa"/>
            <w:vAlign w:val="bottom"/>
          </w:tcPr>
          <w:p>
            <w:pPr>
              <w:spacing w:after="0"/>
              <w:rPr>
                <w:sz w:val="1"/>
                <w:szCs w:val="1"/>
                <w:color w:val="auto"/>
              </w:rPr>
            </w:pPr>
          </w:p>
        </w:tc>
      </w:tr>
      <w:tr>
        <w:trPr>
          <w:trHeight w:val="335"/>
        </w:trPr>
        <w:tc>
          <w:tcPr>
            <w:tcW w:w="6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60" w:type="dxa"/>
            <w:vAlign w:val="bottom"/>
            <w:gridSpan w:val="3"/>
          </w:tcPr>
          <w:p>
            <w:pPr>
              <w:jc w:val="center"/>
              <w:ind w:left="418"/>
              <w:spacing w:after="0"/>
              <w:rPr>
                <w:sz w:val="20"/>
                <w:szCs w:val="20"/>
                <w:color w:val="auto"/>
              </w:rPr>
            </w:pPr>
            <w:r>
              <w:rPr>
                <w:rFonts w:ascii="Arial" w:cs="Arial" w:eastAsia="Arial" w:hAnsi="Arial"/>
                <w:sz w:val="14"/>
                <w:szCs w:val="14"/>
                <w:b w:val="1"/>
                <w:bCs w:val="1"/>
                <w:color w:val="auto"/>
                <w:w w:val="95"/>
              </w:rPr>
              <w:t>Three Months Ended</w:t>
            </w: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6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tcPr>
          <w:p>
            <w:pPr>
              <w:jc w:val="center"/>
              <w:ind w:left="418"/>
              <w:spacing w:after="0"/>
              <w:rPr>
                <w:sz w:val="20"/>
                <w:szCs w:val="20"/>
                <w:color w:val="auto"/>
              </w:rPr>
            </w:pPr>
            <w:r>
              <w:rPr>
                <w:rFonts w:ascii="Arial" w:cs="Arial" w:eastAsia="Arial" w:hAnsi="Arial"/>
                <w:sz w:val="14"/>
                <w:szCs w:val="14"/>
                <w:b w:val="1"/>
                <w:bCs w:val="1"/>
                <w:color w:val="auto"/>
                <w:w w:val="99"/>
              </w:rPr>
              <w:t>March 31,</w:t>
            </w:r>
          </w:p>
        </w:tc>
        <w:tc>
          <w:tcPr>
            <w:tcW w:w="8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18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 xml:space="preserve">Non-GAAP Results </w:t>
            </w:r>
            <w:r>
              <w:rPr>
                <w:rFonts w:ascii="Arial" w:cs="Arial" w:eastAsia="Arial" w:hAnsi="Arial"/>
                <w:sz w:val="16"/>
                <w:szCs w:val="16"/>
                <w:b w:val="1"/>
                <w:bCs w:val="1"/>
                <w:color w:val="auto"/>
                <w:vertAlign w:val="superscript"/>
              </w:rPr>
              <w:t>(1)</w:t>
            </w:r>
          </w:p>
        </w:tc>
        <w:tc>
          <w:tcPr>
            <w:tcW w:w="3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78"/>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434"/>
              <w:spacing w:after="0" w:line="142" w:lineRule="exact"/>
              <w:rPr>
                <w:sz w:val="20"/>
                <w:szCs w:val="20"/>
                <w:color w:val="auto"/>
              </w:rPr>
            </w:pPr>
            <w:r>
              <w:rPr>
                <w:rFonts w:ascii="Arial" w:cs="Arial" w:eastAsia="Arial" w:hAnsi="Arial"/>
                <w:sz w:val="14"/>
                <w:szCs w:val="14"/>
                <w:b w:val="1"/>
                <w:bCs w:val="1"/>
                <w:color w:val="auto"/>
                <w:w w:val="89"/>
              </w:rPr>
              <w:t>2017</w:t>
            </w:r>
          </w:p>
        </w:tc>
        <w:tc>
          <w:tcPr>
            <w:tcW w:w="300" w:type="dxa"/>
            <w:vAlign w:val="bottom"/>
            <w:tcBorders>
              <w:bottom w:val="single" w:sz="8" w:color="CCEEFF"/>
            </w:tcBorders>
          </w:tcPr>
          <w:p>
            <w:pPr>
              <w:spacing w:after="0"/>
              <w:rPr>
                <w:sz w:val="12"/>
                <w:szCs w:val="12"/>
                <w:color w:val="auto"/>
              </w:rPr>
            </w:pPr>
          </w:p>
        </w:tc>
        <w:tc>
          <w:tcPr>
            <w:tcW w:w="13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Change</w:t>
            </w:r>
          </w:p>
        </w:tc>
        <w:tc>
          <w:tcPr>
            <w:tcW w:w="2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Adjusted net income</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6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3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Diluted adjusted net income per common unit</w:t>
            </w:r>
          </w:p>
        </w:tc>
        <w:tc>
          <w:tcPr>
            <w:tcW w:w="62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0.36</w:t>
            </w:r>
          </w:p>
        </w:tc>
        <w:tc>
          <w:tcPr>
            <w:tcW w:w="520" w:type="dxa"/>
            <w:vAlign w:val="bottom"/>
          </w:tcPr>
          <w:p>
            <w:pPr>
              <w:jc w:val="right"/>
              <w:ind w:right="36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0.27</w:t>
            </w:r>
          </w:p>
        </w:tc>
        <w:tc>
          <w:tcPr>
            <w:tcW w:w="1640" w:type="dxa"/>
            <w:vAlign w:val="bottom"/>
            <w:gridSpan w:val="2"/>
          </w:tcPr>
          <w:p>
            <w:pPr>
              <w:jc w:val="right"/>
              <w:ind w:right="5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62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593</w:t>
            </w:r>
          </w:p>
        </w:tc>
        <w:tc>
          <w:tcPr>
            <w:tcW w:w="520" w:type="dxa"/>
            <w:vAlign w:val="bottom"/>
            <w:shd w:val="clear" w:color="auto" w:fill="CCEEFF"/>
          </w:tcPr>
          <w:p>
            <w:pPr>
              <w:jc w:val="right"/>
              <w:ind w:right="36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512</w:t>
            </w:r>
          </w:p>
        </w:tc>
        <w:tc>
          <w:tcPr>
            <w:tcW w:w="16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6180" w:type="dxa"/>
            <w:vAlign w:val="bottom"/>
          </w:tcPr>
          <w:p>
            <w:pPr>
              <w:spacing w:after="0"/>
              <w:rPr>
                <w:sz w:val="20"/>
                <w:szCs w:val="20"/>
                <w:color w:val="auto"/>
              </w:rPr>
            </w:pPr>
            <w:r>
              <w:rPr>
                <w:rFonts w:ascii="Arial" w:cs="Arial" w:eastAsia="Arial" w:hAnsi="Arial"/>
                <w:sz w:val="18"/>
                <w:szCs w:val="18"/>
                <w:color w:val="auto"/>
              </w:rPr>
              <w:t>Implied DCF per Common Unit</w:t>
            </w:r>
          </w:p>
        </w:tc>
        <w:tc>
          <w:tcPr>
            <w:tcW w:w="62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0.61</w:t>
            </w:r>
          </w:p>
        </w:tc>
        <w:tc>
          <w:tcPr>
            <w:tcW w:w="520" w:type="dxa"/>
            <w:vAlign w:val="bottom"/>
          </w:tcPr>
          <w:p>
            <w:pPr>
              <w:jc w:val="right"/>
              <w:ind w:right="36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0.44</w:t>
            </w:r>
          </w:p>
        </w:tc>
        <w:tc>
          <w:tcPr>
            <w:tcW w:w="1640" w:type="dxa"/>
            <w:vAlign w:val="bottom"/>
            <w:gridSpan w:val="2"/>
          </w:tcPr>
          <w:p>
            <w:pPr>
              <w:jc w:val="right"/>
              <w:ind w:right="5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8268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7" w:lineRule="exact"/>
        <w:rPr>
          <w:sz w:val="20"/>
          <w:szCs w:val="20"/>
          <w:color w:val="auto"/>
        </w:rPr>
      </w:pPr>
    </w:p>
    <w:p>
      <w:pPr>
        <w:ind w:left="340" w:right="180" w:hanging="332"/>
        <w:spacing w:after="0" w:line="238" w:lineRule="auto"/>
        <w:tabs>
          <w:tab w:leader="none" w:pos="328" w:val="left"/>
        </w:tabs>
        <w:numPr>
          <w:ilvl w:val="0"/>
          <w:numId w:val="3"/>
        </w:numPr>
        <w:rPr>
          <w:rFonts w:ascii="Arial" w:cs="Arial" w:eastAsia="Arial" w:hAnsi="Arial"/>
          <w:sz w:val="23"/>
          <w:szCs w:val="23"/>
          <w:color w:val="auto"/>
          <w:vertAlign w:val="superscript"/>
        </w:rPr>
      </w:pPr>
      <w:r>
        <w:rPr>
          <w:rFonts w:ascii="Arial" w:cs="Arial" w:eastAsia="Arial" w:hAnsi="Arial"/>
          <w:sz w:val="18"/>
          <w:szCs w:val="18"/>
          <w:color w:val="auto"/>
        </w:rPr>
        <w:t>See the section of this release entitled “Non-GAAP Financial Measures and Selected Items Impacting Comparability” and the tables attached hereto for information regarding certain selected items that PAA believes impact comparability of financial results between reporting periods, as well as for information regarding non-GAAP financial measures (such as Adjusted EBITDA) and their reconciliation to the most directly comparable measures as reported in accordance with GAAP.</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239" w:gutter="0" w:footer="0" w:header="0"/>
        </w:sectPr>
      </w:pPr>
    </w:p>
    <w:bookmarkStart w:id="3" w:name="page4"/>
    <w:bookmarkEnd w:id="3"/>
    <w:p>
      <w:pPr>
        <w:spacing w:after="0" w:line="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3</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Segment Adjusted EBITDA for the first quarter of 2018 and 2017 is presented below: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of Selected Financial Data by Segment</w:t>
      </w:r>
      <w:r>
        <w:rPr>
          <w:rFonts w:ascii="Arial" w:cs="Arial" w:eastAsia="Arial" w:hAnsi="Arial"/>
          <w:sz w:val="18"/>
          <w:szCs w:val="18"/>
          <w:b w:val="1"/>
          <w:bCs w:val="1"/>
          <w:color w:val="auto"/>
        </w:rPr>
        <w:t xml:space="preserve"> </w:t>
      </w:r>
      <w:r>
        <w:rPr>
          <w:rFonts w:ascii="Arial" w:cs="Arial" w:eastAsia="Arial" w:hAnsi="Arial"/>
          <w:sz w:val="18"/>
          <w:szCs w:val="18"/>
          <w:color w:val="auto"/>
        </w:rPr>
        <w:t>(unaudited)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520" w:type="dxa"/>
            <w:vAlign w:val="bottom"/>
            <w:gridSpan w:val="5"/>
          </w:tcPr>
          <w:p>
            <w:pPr>
              <w:jc w:val="right"/>
              <w:ind w:right="100"/>
              <w:spacing w:after="0"/>
              <w:rPr>
                <w:sz w:val="20"/>
                <w:szCs w:val="20"/>
                <w:color w:val="auto"/>
              </w:rPr>
            </w:pPr>
            <w:r>
              <w:rPr>
                <w:rFonts w:ascii="Arial" w:cs="Arial" w:eastAsia="Arial" w:hAnsi="Arial"/>
                <w:sz w:val="14"/>
                <w:szCs w:val="14"/>
                <w:b w:val="1"/>
                <w:bCs w:val="1"/>
                <w:color w:val="auto"/>
              </w:rPr>
              <w:t>Three Months Ended</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4"/>
                <w:szCs w:val="14"/>
                <w:b w:val="1"/>
                <w:bCs w:val="1"/>
                <w:color w:val="auto"/>
              </w:rPr>
              <w:t>March 31, 2018</w:t>
            </w: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4"/>
                <w:szCs w:val="14"/>
                <w:b w:val="1"/>
                <w:bCs w:val="1"/>
                <w:color w:val="auto"/>
                <w:w w:val="96"/>
              </w:rPr>
              <w:t>March 31, 2017</w:t>
            </w: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gridSpan w:val="2"/>
            <w:vMerge w:val="restart"/>
          </w:tcPr>
          <w:p>
            <w:pPr>
              <w:jc w:val="right"/>
              <w:ind w:right="228"/>
              <w:spacing w:after="0"/>
              <w:rPr>
                <w:sz w:val="20"/>
                <w:szCs w:val="20"/>
                <w:color w:val="auto"/>
              </w:rPr>
            </w:pPr>
            <w:r>
              <w:rPr>
                <w:rFonts w:ascii="Arial" w:cs="Arial" w:eastAsia="Arial" w:hAnsi="Arial"/>
                <w:sz w:val="14"/>
                <w:szCs w:val="14"/>
                <w:b w:val="1"/>
                <w:bCs w:val="1"/>
                <w:color w:val="auto"/>
                <w:w w:val="93"/>
              </w:rPr>
              <w:t>Transportation</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Facilities</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jc w:val="center"/>
              <w:ind w:right="98"/>
              <w:spacing w:after="0" w:line="119" w:lineRule="exact"/>
              <w:rPr>
                <w:sz w:val="20"/>
                <w:szCs w:val="20"/>
                <w:color w:val="auto"/>
              </w:rPr>
            </w:pPr>
            <w:r>
              <w:rPr>
                <w:rFonts w:ascii="Arial" w:cs="Arial" w:eastAsia="Arial" w:hAnsi="Arial"/>
                <w:sz w:val="13"/>
                <w:szCs w:val="13"/>
                <w:b w:val="1"/>
                <w:bCs w:val="1"/>
                <w:color w:val="auto"/>
                <w:w w:val="99"/>
              </w:rPr>
              <w:t>Supply and</w:t>
            </w:r>
          </w:p>
        </w:tc>
        <w:tc>
          <w:tcPr>
            <w:tcW w:w="500" w:type="dxa"/>
            <w:vAlign w:val="bottom"/>
            <w:gridSpan w:val="2"/>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Transportation</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Facilities</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jc w:val="center"/>
              <w:ind w:right="84"/>
              <w:spacing w:after="0" w:line="119" w:lineRule="exact"/>
              <w:rPr>
                <w:sz w:val="20"/>
                <w:szCs w:val="20"/>
                <w:color w:val="auto"/>
              </w:rPr>
            </w:pPr>
            <w:r>
              <w:rPr>
                <w:rFonts w:ascii="Arial" w:cs="Arial" w:eastAsia="Arial" w:hAnsi="Arial"/>
                <w:sz w:val="13"/>
                <w:szCs w:val="13"/>
                <w:b w:val="1"/>
                <w:bCs w:val="1"/>
                <w:color w:val="auto"/>
                <w:w w:val="99"/>
              </w:rPr>
              <w:t>Supply and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w w:val="87"/>
              </w:rPr>
              <w:t>Logistics</w:t>
            </w:r>
          </w:p>
        </w:tc>
        <w:tc>
          <w:tcPr>
            <w:tcW w:w="10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Logistics</w:t>
            </w:r>
          </w:p>
        </w:tc>
        <w:tc>
          <w:tcPr>
            <w:tcW w:w="0" w:type="dxa"/>
            <w:vAlign w:val="bottom"/>
          </w:tcPr>
          <w:p>
            <w:pPr>
              <w:spacing w:after="0"/>
              <w:rPr>
                <w:sz w:val="1"/>
                <w:szCs w:val="1"/>
                <w:color w:val="auto"/>
              </w:rPr>
            </w:pPr>
          </w:p>
        </w:tc>
      </w:tr>
      <w:tr>
        <w:trPr>
          <w:trHeight w:val="210"/>
        </w:trPr>
        <w:tc>
          <w:tcPr>
            <w:tcW w:w="32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Segment Adjusted EBITDA</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w w:val="79"/>
              </w:rPr>
              <w:t>72</w:t>
            </w:r>
          </w:p>
        </w:tc>
        <w:tc>
          <w:tcPr>
            <w:tcW w:w="300" w:type="dxa"/>
            <w:vAlign w:val="bottom"/>
            <w:tcBorders>
              <w:top w:val="single" w:sz="8" w:color="CCEEFF"/>
              <w:bottom w:val="single" w:sz="8" w:color="CCEEFF"/>
              <w:right w:val="single" w:sz="8" w:color="auto"/>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0" w:type="dxa"/>
            <w:vAlign w:val="bottom"/>
            <w:vMerge w:val="restart"/>
          </w:tcPr>
          <w:p>
            <w:pPr>
              <w:spacing w:after="0" w:line="195" w:lineRule="exact"/>
              <w:rPr>
                <w:sz w:val="20"/>
                <w:szCs w:val="20"/>
                <w:color w:val="auto"/>
              </w:rPr>
            </w:pPr>
            <w:r>
              <w:rPr>
                <w:rFonts w:ascii="Arial" w:cs="Arial" w:eastAsia="Arial" w:hAnsi="Arial"/>
                <w:sz w:val="18"/>
                <w:szCs w:val="18"/>
                <w:b w:val="1"/>
                <w:bCs w:val="1"/>
                <w:i w:val="1"/>
                <w:iCs w:val="1"/>
                <w:color w:val="auto"/>
              </w:rPr>
              <w:t>Percentage change in Segment</w:t>
            </w: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2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00" w:type="dxa"/>
            <w:vAlign w:val="bottom"/>
            <w:tcBorders>
              <w:righ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Adjusted EBITDA versus 2017</w:t>
            </w:r>
          </w:p>
        </w:tc>
        <w:tc>
          <w:tcPr>
            <w:tcW w:w="120" w:type="dxa"/>
            <w:vAlign w:val="bottom"/>
          </w:tcPr>
          <w:p>
            <w:pPr>
              <w:spacing w:after="0"/>
              <w:rPr>
                <w:sz w:val="18"/>
                <w:szCs w:val="18"/>
                <w:color w:val="auto"/>
              </w:rPr>
            </w:pPr>
          </w:p>
        </w:tc>
        <w:tc>
          <w:tcPr>
            <w:tcW w:w="1240" w:type="dxa"/>
            <w:vAlign w:val="bottom"/>
            <w:gridSpan w:val="2"/>
            <w:vMerge w:val="restart"/>
          </w:tcPr>
          <w:p>
            <w:pPr>
              <w:jc w:val="right"/>
              <w:spacing w:after="0"/>
              <w:rPr>
                <w:sz w:val="20"/>
                <w:szCs w:val="20"/>
                <w:color w:val="auto"/>
              </w:rPr>
            </w:pPr>
            <w:r>
              <w:rPr>
                <w:rFonts w:ascii="Arial" w:cs="Arial" w:eastAsia="Arial" w:hAnsi="Arial"/>
                <w:sz w:val="18"/>
                <w:szCs w:val="18"/>
                <w:b w:val="1"/>
                <w:bCs w:val="1"/>
                <w:i w:val="1"/>
                <w:iCs w:val="1"/>
                <w:color w:val="auto"/>
              </w:rPr>
              <w:t>23%</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vMerge w:val="restart"/>
          </w:tcPr>
          <w:p>
            <w:pPr>
              <w:jc w:val="right"/>
              <w:ind w:right="60"/>
              <w:spacing w:after="0"/>
              <w:rPr>
                <w:sz w:val="20"/>
                <w:szCs w:val="20"/>
                <w:color w:val="auto"/>
              </w:rPr>
            </w:pPr>
            <w:r>
              <w:rPr>
                <w:rFonts w:ascii="Arial" w:cs="Arial" w:eastAsia="Arial" w:hAnsi="Arial"/>
                <w:sz w:val="18"/>
                <w:szCs w:val="18"/>
                <w:b w:val="1"/>
                <w:bCs w:val="1"/>
                <w:i w:val="1"/>
                <w:iCs w:val="1"/>
                <w:color w:val="auto"/>
              </w:rPr>
              <w:t>(2)%</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Borders>
              <w:right w:val="single" w:sz="8" w:color="auto"/>
            </w:tcBorders>
            <w:gridSpan w:val="2"/>
            <w:vMerge w:val="restart"/>
          </w:tcPr>
          <w:p>
            <w:pPr>
              <w:ind w:left="820"/>
              <w:spacing w:after="0"/>
              <w:rPr>
                <w:sz w:val="20"/>
                <w:szCs w:val="20"/>
                <w:color w:val="auto"/>
              </w:rPr>
            </w:pPr>
            <w:r>
              <w:rPr>
                <w:rFonts w:ascii="Arial" w:cs="Arial" w:eastAsia="Arial" w:hAnsi="Arial"/>
                <w:sz w:val="18"/>
                <w:szCs w:val="18"/>
                <w:b w:val="1"/>
                <w:bCs w:val="1"/>
                <w:i w:val="1"/>
                <w:iCs w:val="1"/>
                <w:color w:val="auto"/>
              </w:rPr>
              <w:t>41%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20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period</w:t>
            </w:r>
          </w:p>
        </w:tc>
        <w:tc>
          <w:tcPr>
            <w:tcW w:w="120" w:type="dxa"/>
            <w:vAlign w:val="bottom"/>
          </w:tcPr>
          <w:p>
            <w:pPr>
              <w:spacing w:after="0"/>
              <w:rPr>
                <w:sz w:val="22"/>
                <w:szCs w:val="22"/>
                <w:color w:val="auto"/>
              </w:rPr>
            </w:pPr>
          </w:p>
        </w:tc>
        <w:tc>
          <w:tcPr>
            <w:tcW w:w="1240" w:type="dxa"/>
            <w:vAlign w:val="bottom"/>
            <w:gridSpan w:val="2"/>
            <w:vMerge w:val="continue"/>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gridSpan w:val="2"/>
            <w:vMerge w:val="continue"/>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Borders>
              <w:right w:val="single" w:sz="8" w:color="auto"/>
            </w:tcBorders>
            <w:gridSpan w:val="2"/>
            <w:vMerge w:val="continue"/>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3200" w:type="dxa"/>
            <w:vAlign w:val="bottom"/>
            <w:tcBorders>
              <w:top w:val="single" w:sz="8" w:color="CCEEFF"/>
            </w:tcBorders>
            <w:shd w:val="clear" w:color="auto" w:fill="CCEEFF"/>
          </w:tcPr>
          <w:p>
            <w:pPr>
              <w:spacing w:after="0" w:line="156" w:lineRule="exact"/>
              <w:rPr>
                <w:sz w:val="20"/>
                <w:szCs w:val="20"/>
                <w:color w:val="auto"/>
              </w:rPr>
            </w:pPr>
            <w:r>
              <w:rPr>
                <w:rFonts w:ascii="Arial" w:cs="Arial" w:eastAsia="Arial" w:hAnsi="Arial"/>
                <w:sz w:val="18"/>
                <w:szCs w:val="18"/>
                <w:b w:val="1"/>
                <w:bCs w:val="1"/>
                <w:i w:val="1"/>
                <w:iCs w:val="1"/>
                <w:color w:val="auto"/>
              </w:rPr>
              <w:t>Percentage change in Segment</w:t>
            </w:r>
          </w:p>
        </w:tc>
        <w:tc>
          <w:tcPr>
            <w:tcW w:w="12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CCEEFF"/>
              <w:right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9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180"/>
              <w:spacing w:after="0"/>
              <w:rPr>
                <w:sz w:val="20"/>
                <w:szCs w:val="20"/>
                <w:color w:val="auto"/>
              </w:rPr>
            </w:pPr>
            <w:r>
              <w:rPr>
                <w:rFonts w:ascii="Arial" w:cs="Arial" w:eastAsia="Arial" w:hAnsi="Arial"/>
                <w:sz w:val="18"/>
                <w:szCs w:val="18"/>
                <w:b w:val="1"/>
                <w:bCs w:val="1"/>
                <w:i w:val="1"/>
                <w:iCs w:val="1"/>
                <w:color w:val="auto"/>
              </w:rPr>
              <w:t>Adjusted EBITDA versus 2017</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180"/>
              <w:spacing w:after="0"/>
              <w:rPr>
                <w:sz w:val="20"/>
                <w:szCs w:val="20"/>
                <w:color w:val="auto"/>
              </w:rPr>
            </w:pPr>
            <w:r>
              <w:rPr>
                <w:rFonts w:ascii="Arial" w:cs="Arial" w:eastAsia="Arial" w:hAnsi="Arial"/>
                <w:sz w:val="18"/>
                <w:szCs w:val="18"/>
                <w:b w:val="1"/>
                <w:bCs w:val="1"/>
                <w:i w:val="1"/>
                <w:iCs w:val="1"/>
                <w:color w:val="auto"/>
              </w:rPr>
              <w:t>further adjusted for impact of</w:t>
            </w:r>
          </w:p>
        </w:tc>
        <w:tc>
          <w:tcPr>
            <w:tcW w:w="120" w:type="dxa"/>
            <w:vAlign w:val="bottom"/>
            <w:shd w:val="clear" w:color="auto" w:fill="CCEEFF"/>
          </w:tcPr>
          <w:p>
            <w:pPr>
              <w:spacing w:after="0"/>
              <w:rPr>
                <w:sz w:val="18"/>
                <w:szCs w:val="18"/>
                <w:color w:val="auto"/>
              </w:rPr>
            </w:pPr>
          </w:p>
        </w:tc>
        <w:tc>
          <w:tcPr>
            <w:tcW w:w="12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26%</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b w:val="1"/>
                <w:bCs w:val="1"/>
                <w:i w:val="1"/>
                <w:iCs w:val="1"/>
                <w:color w:val="auto"/>
              </w:rPr>
              <w:t>5%</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tcBorders>
              <w:right w:val="single" w:sz="8" w:color="auto"/>
            </w:tcBorders>
            <w:gridSpan w:val="2"/>
            <w:vMerge w:val="restart"/>
            <w:shd w:val="clear" w:color="auto" w:fill="CCEEFF"/>
          </w:tcPr>
          <w:p>
            <w:pPr>
              <w:ind w:left="700"/>
              <w:spacing w:after="0"/>
              <w:rPr>
                <w:sz w:val="20"/>
                <w:szCs w:val="20"/>
                <w:color w:val="auto"/>
              </w:rPr>
            </w:pPr>
            <w:r>
              <w:rPr>
                <w:rFonts w:ascii="Arial" w:cs="Arial" w:eastAsia="Arial" w:hAnsi="Arial"/>
                <w:sz w:val="18"/>
                <w:szCs w:val="18"/>
                <w:b w:val="1"/>
                <w:bCs w:val="1"/>
                <w:i w:val="1"/>
                <w:iCs w:val="1"/>
                <w:color w:val="auto"/>
              </w:rPr>
              <w:t>N/A</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200" w:type="dxa"/>
            <w:vAlign w:val="bottom"/>
            <w:shd w:val="clear" w:color="auto" w:fill="CCEEFF"/>
          </w:tcPr>
          <w:p>
            <w:pPr>
              <w:ind w:left="180"/>
              <w:spacing w:after="0"/>
              <w:rPr>
                <w:sz w:val="20"/>
                <w:szCs w:val="20"/>
                <w:color w:val="auto"/>
              </w:rPr>
            </w:pPr>
            <w:r>
              <w:rPr>
                <w:rFonts w:ascii="Arial" w:cs="Arial" w:eastAsia="Arial" w:hAnsi="Arial"/>
                <w:sz w:val="18"/>
                <w:szCs w:val="18"/>
                <w:b w:val="1"/>
                <w:bCs w:val="1"/>
                <w:i w:val="1"/>
                <w:iCs w:val="1"/>
                <w:color w:val="auto"/>
              </w:rPr>
              <w:t>divested assets</w:t>
            </w:r>
          </w:p>
        </w:tc>
        <w:tc>
          <w:tcPr>
            <w:tcW w:w="120" w:type="dxa"/>
            <w:vAlign w:val="bottom"/>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tcBorders>
              <w:right w:val="single" w:sz="8" w:color="auto"/>
            </w:tcBorders>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First-quarter 2018 Transportation Segment Adjusted EBITDA increased 23% versus comparable 2017 results. This increase was primarily driven by increased volume on our Permian Basin systems, in addition to contributions from our Eagle Ford JV system, which receives Permian volumes from our Cactus pipeline. First-quarter 2018 also benefited from Diamond pipeline being placed into service in late 2017. These increases were partially offset by the sale of non-core assets in our Rocky Mountain and Central regions.</w:t>
      </w:r>
    </w:p>
    <w:p>
      <w:pPr>
        <w:spacing w:after="0" w:line="187"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First-quarter 2018 Facilities Segment Adjusted EBITDA decreased by 2% versus comparable 2017 results. The impact of non-core asset sales was partially offset by increased revenue from Canadian gas processing activity, increased rail terminal activity at certain of our U.S. crude oil terminals and at our Fort Saskatchewan NGL terminal, and capacity expansions at Cushing.</w:t>
      </w:r>
    </w:p>
    <w:p>
      <w:pPr>
        <w:spacing w:after="0" w:line="181"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First-quarter 2018 Supply and Logistics Segment Adjusted EBITDA increased by 41% versus comparable 2017 results due to improved NGL and crude oil margin and arbitrage opportunities.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Full-Year Guidance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presents our full-year 2018 financial and operating guidance: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and Operating Guidance</w:t>
      </w:r>
      <w:r>
        <w:rPr>
          <w:rFonts w:ascii="Arial" w:cs="Arial" w:eastAsia="Arial" w:hAnsi="Arial"/>
          <w:sz w:val="18"/>
          <w:szCs w:val="18"/>
          <w:b w:val="1"/>
          <w:bCs w:val="1"/>
          <w:color w:val="auto"/>
        </w:rPr>
        <w:t xml:space="preserve"> </w:t>
      </w:r>
      <w:r>
        <w:rPr>
          <w:rFonts w:ascii="Arial" w:cs="Arial" w:eastAsia="Arial" w:hAnsi="Arial"/>
          <w:sz w:val="18"/>
          <w:szCs w:val="18"/>
          <w:color w:val="auto"/>
        </w:rPr>
        <w:t>(unaudited)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and barrel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7"/>
          </w:tcPr>
          <w:p>
            <w:pPr>
              <w:jc w:val="right"/>
              <w:ind w:right="30"/>
              <w:spacing w:after="0"/>
              <w:rPr>
                <w:sz w:val="20"/>
                <w:szCs w:val="20"/>
                <w:color w:val="auto"/>
              </w:rPr>
            </w:pPr>
            <w:r>
              <w:rPr>
                <w:rFonts w:ascii="Arial" w:cs="Arial" w:eastAsia="Arial" w:hAnsi="Arial"/>
                <w:sz w:val="14"/>
                <w:szCs w:val="14"/>
                <w:b w:val="1"/>
                <w:bCs w:val="1"/>
                <w:color w:val="auto"/>
              </w:rPr>
              <w:t>Twelve Months Ended December 31,</w:t>
            </w:r>
          </w:p>
        </w:tc>
        <w:tc>
          <w:tcPr>
            <w:tcW w:w="10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46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2018 (G)</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jc w:val="right"/>
              <w:ind w:right="472"/>
              <w:spacing w:after="0" w:line="142" w:lineRule="exact"/>
              <w:rPr>
                <w:sz w:val="20"/>
                <w:szCs w:val="20"/>
                <w:color w:val="auto"/>
              </w:rPr>
            </w:pPr>
            <w:r>
              <w:rPr>
                <w:rFonts w:ascii="Arial" w:cs="Arial" w:eastAsia="Arial" w:hAnsi="Arial"/>
                <w:sz w:val="14"/>
                <w:szCs w:val="14"/>
                <w:b w:val="1"/>
                <w:bCs w:val="1"/>
                <w:color w:val="auto"/>
              </w:rPr>
              <w:t>+ / -</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Segment Adjusted EBITDA</w:t>
            </w:r>
          </w:p>
        </w:tc>
        <w:tc>
          <w:tcPr>
            <w:tcW w:w="8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160"/>
              <w:spacing w:after="0"/>
              <w:rPr>
                <w:sz w:val="20"/>
                <w:szCs w:val="20"/>
                <w:color w:val="auto"/>
              </w:rPr>
            </w:pPr>
            <w:r>
              <w:rPr>
                <w:rFonts w:ascii="Arial" w:cs="Arial" w:eastAsia="Arial" w:hAnsi="Arial"/>
                <w:sz w:val="18"/>
                <w:szCs w:val="18"/>
                <w:color w:val="auto"/>
              </w:rPr>
              <w:t>Transportation</w:t>
            </w:r>
          </w:p>
        </w:tc>
        <w:tc>
          <w:tcPr>
            <w:tcW w:w="1680" w:type="dxa"/>
            <w:vAlign w:val="bottom"/>
            <w:gridSpan w:val="2"/>
          </w:tcPr>
          <w:p>
            <w:pPr>
              <w:jc w:val="right"/>
              <w:ind w:right="726"/>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1,141</w:t>
            </w:r>
          </w:p>
        </w:tc>
        <w:tc>
          <w:tcPr>
            <w:tcW w:w="180" w:type="dxa"/>
            <w:vAlign w:val="bottom"/>
          </w:tcPr>
          <w:p>
            <w:pPr>
              <w:spacing w:after="0"/>
              <w:rPr>
                <w:sz w:val="18"/>
                <w:szCs w:val="18"/>
                <w:color w:val="auto"/>
              </w:rPr>
            </w:pP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1,287</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1,535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Facilities</w:t>
            </w:r>
          </w:p>
        </w:tc>
        <w:tc>
          <w:tcPr>
            <w:tcW w:w="8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734</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tcPr>
          <w:p>
            <w:pPr>
              <w:ind w:left="340"/>
              <w:spacing w:after="0"/>
              <w:rPr>
                <w:sz w:val="20"/>
                <w:szCs w:val="20"/>
                <w:color w:val="auto"/>
              </w:rPr>
            </w:pPr>
            <w:r>
              <w:rPr>
                <w:rFonts w:ascii="Arial" w:cs="Arial" w:eastAsia="Arial" w:hAnsi="Arial"/>
                <w:sz w:val="18"/>
                <w:szCs w:val="18"/>
                <w:b w:val="1"/>
                <w:bCs w:val="1"/>
                <w:color w:val="auto"/>
              </w:rPr>
              <w:t>Fee-Based</w:t>
            </w:r>
          </w:p>
        </w:tc>
        <w:tc>
          <w:tcPr>
            <w:tcW w:w="800" w:type="dxa"/>
            <w:vAlign w:val="bottom"/>
          </w:tcPr>
          <w:p>
            <w:pPr>
              <w:spacing w:after="0"/>
              <w:rPr>
                <w:sz w:val="18"/>
                <w:szCs w:val="18"/>
                <w:color w:val="auto"/>
              </w:rPr>
            </w:pPr>
          </w:p>
        </w:tc>
        <w:tc>
          <w:tcPr>
            <w:tcW w:w="880" w:type="dxa"/>
            <w:vAlign w:val="bottom"/>
            <w:tcBorders>
              <w:top w:val="single" w:sz="8" w:color="auto"/>
            </w:tcBorders>
          </w:tcPr>
          <w:p>
            <w:pPr>
              <w:jc w:val="right"/>
              <w:ind w:right="726"/>
              <w:spacing w:after="0"/>
              <w:rPr>
                <w:sz w:val="20"/>
                <w:szCs w:val="20"/>
                <w:color w:val="auto"/>
              </w:rPr>
            </w:pPr>
            <w:r>
              <w:rPr>
                <w:rFonts w:ascii="Arial" w:cs="Arial" w:eastAsia="Arial" w:hAnsi="Arial"/>
                <w:sz w:val="15"/>
                <w:szCs w:val="15"/>
                <w:b w:val="1"/>
                <w:bCs w:val="1"/>
                <w:color w:val="auto"/>
                <w:w w:val="71"/>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1,808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18"/>
                <w:szCs w:val="18"/>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2,200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Supply and Logistics</w:t>
            </w:r>
          </w:p>
        </w:tc>
        <w:tc>
          <w:tcPr>
            <w:tcW w:w="8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160"/>
              <w:spacing w:after="0"/>
              <w:rPr>
                <w:sz w:val="20"/>
                <w:szCs w:val="20"/>
                <w:color w:val="auto"/>
              </w:rPr>
            </w:pPr>
            <w:r>
              <w:rPr>
                <w:rFonts w:ascii="Arial" w:cs="Arial" w:eastAsia="Arial" w:hAnsi="Arial"/>
                <w:sz w:val="18"/>
                <w:szCs w:val="18"/>
                <w:color w:val="auto"/>
              </w:rPr>
              <w:t>Other income/(expense), net</w:t>
            </w: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tcBorders>
              <w:top w:val="single" w:sz="8" w:color="CCEEFF"/>
              <w:bottom w:val="single" w:sz="8" w:color="CCEEFF"/>
            </w:tcBorders>
            <w:shd w:val="clear" w:color="auto" w:fill="CCEEFF"/>
          </w:tcPr>
          <w:p>
            <w:pPr>
              <w:spacing w:after="0" w:line="210" w:lineRule="exact"/>
              <w:rPr>
                <w:sz w:val="20"/>
                <w:szCs w:val="20"/>
                <w:color w:val="auto"/>
              </w:rPr>
            </w:pPr>
            <w:r>
              <w:rPr>
                <w:rFonts w:ascii="Arial" w:cs="Arial" w:eastAsia="Arial" w:hAnsi="Arial"/>
                <w:sz w:val="18"/>
                <w:szCs w:val="18"/>
                <w:b w:val="1"/>
                <w:bCs w:val="1"/>
                <w:color w:val="auto"/>
              </w:rPr>
              <w:t xml:space="preserve">Adjusted EBITDA </w:t>
            </w:r>
            <w:r>
              <w:rPr>
                <w:rFonts w:ascii="Arial" w:cs="Arial" w:eastAsia="Arial" w:hAnsi="Arial"/>
                <w:sz w:val="23"/>
                <w:szCs w:val="23"/>
                <w:b w:val="1"/>
                <w:bCs w:val="1"/>
                <w:color w:val="auto"/>
                <w:vertAlign w:val="superscript"/>
              </w:rPr>
              <w:t>(1)</w:t>
            </w:r>
          </w:p>
        </w:tc>
        <w:tc>
          <w:tcPr>
            <w:tcW w:w="80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ind w:right="726"/>
              <w:spacing w:after="0"/>
              <w:rPr>
                <w:sz w:val="20"/>
                <w:szCs w:val="20"/>
                <w:color w:val="auto"/>
              </w:rPr>
            </w:pPr>
            <w:r>
              <w:rPr>
                <w:rFonts w:ascii="Arial" w:cs="Arial" w:eastAsia="Arial" w:hAnsi="Arial"/>
                <w:sz w:val="15"/>
                <w:szCs w:val="15"/>
                <w:b w:val="1"/>
                <w:bCs w:val="1"/>
                <w:color w:val="auto"/>
                <w:w w:val="71"/>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2,169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2,082</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2,300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vMerge w:val="restart"/>
          </w:tcPr>
          <w:p>
            <w:pPr>
              <w:ind w:left="160"/>
              <w:spacing w:after="0" w:line="236" w:lineRule="exact"/>
              <w:rPr>
                <w:sz w:val="20"/>
                <w:szCs w:val="20"/>
                <w:color w:val="auto"/>
              </w:rPr>
            </w:pPr>
            <w:r>
              <w:rPr>
                <w:rFonts w:ascii="Arial" w:cs="Arial" w:eastAsia="Arial" w:hAnsi="Arial"/>
                <w:sz w:val="18"/>
                <w:szCs w:val="18"/>
                <w:color w:val="auto"/>
              </w:rPr>
              <w:t xml:space="preserve">Interest expense, net </w:t>
            </w:r>
            <w:r>
              <w:rPr>
                <w:rFonts w:ascii="Arial" w:cs="Arial" w:eastAsia="Arial" w:hAnsi="Arial"/>
                <w:sz w:val="23"/>
                <w:szCs w:val="23"/>
                <w:color w:val="auto"/>
                <w:vertAlign w:val="superscript"/>
              </w:rPr>
              <w:t>(2)</w:t>
            </w:r>
          </w:p>
        </w:tc>
        <w:tc>
          <w:tcPr>
            <w:tcW w:w="8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800" w:type="dxa"/>
            <w:vAlign w:val="bottom"/>
            <w:vMerge w:val="continue"/>
          </w:tcPr>
          <w:p>
            <w:pPr>
              <w:spacing w:after="0"/>
              <w:rPr>
                <w:sz w:val="17"/>
                <w:szCs w:val="17"/>
                <w:color w:val="auto"/>
              </w:rPr>
            </w:pPr>
          </w:p>
        </w:tc>
        <w:tc>
          <w:tcPr>
            <w:tcW w:w="8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(451)</w:t>
            </w:r>
          </w:p>
        </w:tc>
        <w:tc>
          <w:tcPr>
            <w:tcW w:w="1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(483)</w:t>
            </w:r>
          </w:p>
        </w:tc>
        <w:tc>
          <w:tcPr>
            <w:tcW w:w="2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(425)</w:t>
            </w:r>
          </w:p>
        </w:tc>
        <w:tc>
          <w:tcPr>
            <w:tcW w:w="1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Maintenance capital</w:t>
            </w:r>
          </w:p>
        </w:tc>
        <w:tc>
          <w:tcPr>
            <w:tcW w:w="8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(247)</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160"/>
              <w:spacing w:after="0"/>
              <w:rPr>
                <w:sz w:val="20"/>
                <w:szCs w:val="20"/>
                <w:color w:val="auto"/>
              </w:rPr>
            </w:pPr>
            <w:r>
              <w:rPr>
                <w:rFonts w:ascii="Arial" w:cs="Arial" w:eastAsia="Arial" w:hAnsi="Arial"/>
                <w:sz w:val="18"/>
                <w:szCs w:val="18"/>
                <w:color w:val="auto"/>
              </w:rPr>
              <w:t>Current income tax expense</w:t>
            </w: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(28)</w:t>
            </w:r>
          </w:p>
        </w:tc>
        <w:tc>
          <w:tcPr>
            <w:tcW w:w="28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8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tcPr>
          <w:p>
            <w:pPr>
              <w:spacing w:after="0" w:line="210" w:lineRule="exact"/>
              <w:rPr>
                <w:sz w:val="20"/>
                <w:szCs w:val="20"/>
                <w:color w:val="auto"/>
              </w:rPr>
            </w:pPr>
            <w:r>
              <w:rPr>
                <w:rFonts w:ascii="Arial" w:cs="Arial" w:eastAsia="Arial" w:hAnsi="Arial"/>
                <w:sz w:val="18"/>
                <w:szCs w:val="18"/>
                <w:b w:val="1"/>
                <w:bCs w:val="1"/>
                <w:color w:val="auto"/>
              </w:rPr>
              <w:t xml:space="preserve">Implied DCF </w:t>
            </w:r>
            <w:r>
              <w:rPr>
                <w:rFonts w:ascii="Arial" w:cs="Arial" w:eastAsia="Arial" w:hAnsi="Arial"/>
                <w:sz w:val="23"/>
                <w:szCs w:val="23"/>
                <w:b w:val="1"/>
                <w:bCs w:val="1"/>
                <w:color w:val="auto"/>
                <w:vertAlign w:val="superscript"/>
              </w:rPr>
              <w:t>(1)</w:t>
            </w:r>
          </w:p>
        </w:tc>
        <w:tc>
          <w:tcPr>
            <w:tcW w:w="800" w:type="dxa"/>
            <w:vAlign w:val="bottom"/>
          </w:tcPr>
          <w:p>
            <w:pPr>
              <w:spacing w:after="0"/>
              <w:rPr>
                <w:sz w:val="18"/>
                <w:szCs w:val="18"/>
                <w:color w:val="auto"/>
              </w:rPr>
            </w:pPr>
          </w:p>
        </w:tc>
        <w:tc>
          <w:tcPr>
            <w:tcW w:w="880" w:type="dxa"/>
            <w:vAlign w:val="bottom"/>
            <w:tcBorders>
              <w:top w:val="single" w:sz="8" w:color="auto"/>
            </w:tcBorders>
          </w:tcPr>
          <w:p>
            <w:pPr>
              <w:jc w:val="right"/>
              <w:ind w:right="726"/>
              <w:spacing w:after="0"/>
              <w:rPr>
                <w:sz w:val="20"/>
                <w:szCs w:val="20"/>
                <w:color w:val="auto"/>
              </w:rPr>
            </w:pPr>
            <w:r>
              <w:rPr>
                <w:rFonts w:ascii="Arial" w:cs="Arial" w:eastAsia="Arial" w:hAnsi="Arial"/>
                <w:sz w:val="15"/>
                <w:szCs w:val="15"/>
                <w:b w:val="1"/>
                <w:bCs w:val="1"/>
                <w:color w:val="auto"/>
                <w:w w:val="71"/>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1,414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1,312</w:t>
            </w:r>
          </w:p>
        </w:tc>
        <w:tc>
          <w:tcPr>
            <w:tcW w:w="280" w:type="dxa"/>
            <w:vAlign w:val="bottom"/>
          </w:tcPr>
          <w:p>
            <w:pPr>
              <w:spacing w:after="0"/>
              <w:rPr>
                <w:sz w:val="18"/>
                <w:szCs w:val="18"/>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1,635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Preferred unit distributions paid </w:t>
            </w:r>
            <w:r>
              <w:rPr>
                <w:rFonts w:ascii="Arial" w:cs="Arial" w:eastAsia="Arial" w:hAnsi="Arial"/>
                <w:sz w:val="23"/>
                <w:szCs w:val="23"/>
                <w:color w:val="auto"/>
                <w:vertAlign w:val="superscript"/>
              </w:rPr>
              <w:t>(3)</w:t>
            </w:r>
          </w:p>
        </w:tc>
        <w:tc>
          <w:tcPr>
            <w:tcW w:w="8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160"/>
              <w:spacing w:after="0"/>
              <w:rPr>
                <w:sz w:val="20"/>
                <w:szCs w:val="20"/>
                <w:color w:val="auto"/>
              </w:rPr>
            </w:pPr>
            <w:r>
              <w:rPr>
                <w:rFonts w:ascii="Arial" w:cs="Arial" w:eastAsia="Arial" w:hAnsi="Arial"/>
                <w:sz w:val="18"/>
                <w:szCs w:val="18"/>
                <w:color w:val="auto"/>
              </w:rPr>
              <w:t>General partner cash distributions</w:t>
            </w: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(565)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Implied DCF Available to Common Unitholders</w:t>
            </w:r>
          </w:p>
        </w:tc>
        <w:tc>
          <w:tcPr>
            <w:tcW w:w="80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ind w:right="726"/>
              <w:spacing w:after="0"/>
              <w:rPr>
                <w:sz w:val="20"/>
                <w:szCs w:val="20"/>
                <w:color w:val="auto"/>
              </w:rPr>
            </w:pPr>
            <w:r>
              <w:rPr>
                <w:rFonts w:ascii="Arial" w:cs="Arial" w:eastAsia="Arial" w:hAnsi="Arial"/>
                <w:sz w:val="15"/>
                <w:szCs w:val="15"/>
                <w:b w:val="1"/>
                <w:bCs w:val="1"/>
                <w:color w:val="auto"/>
                <w:w w:val="71"/>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849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1,307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1,475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8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line="216" w:lineRule="exact"/>
              <w:rPr>
                <w:sz w:val="20"/>
                <w:szCs w:val="20"/>
                <w:color w:val="auto"/>
              </w:rPr>
            </w:pPr>
            <w:r>
              <w:rPr>
                <w:rFonts w:ascii="Arial" w:cs="Arial" w:eastAsia="Arial" w:hAnsi="Arial"/>
                <w:sz w:val="18"/>
                <w:szCs w:val="18"/>
                <w:b w:val="1"/>
                <w:bCs w:val="1"/>
                <w:color w:val="auto"/>
              </w:rPr>
              <w:t xml:space="preserve">Implied DCF per Common Unit </w:t>
            </w:r>
            <w:r>
              <w:rPr>
                <w:rFonts w:ascii="Arial" w:cs="Arial" w:eastAsia="Arial" w:hAnsi="Arial"/>
                <w:sz w:val="23"/>
                <w:szCs w:val="23"/>
                <w:b w:val="1"/>
                <w:bCs w:val="1"/>
                <w:color w:val="auto"/>
                <w:vertAlign w:val="superscript"/>
              </w:rPr>
              <w:t>(1)</w:t>
            </w:r>
          </w:p>
        </w:tc>
        <w:tc>
          <w:tcPr>
            <w:tcW w:w="1680" w:type="dxa"/>
            <w:vAlign w:val="bottom"/>
            <w:gridSpan w:val="2"/>
            <w:shd w:val="clear" w:color="auto" w:fill="CCEEFF"/>
          </w:tcPr>
          <w:p>
            <w:pPr>
              <w:jc w:val="right"/>
              <w:ind w:right="726"/>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1.83</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1.82</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line="216" w:lineRule="exact"/>
              <w:rPr>
                <w:sz w:val="20"/>
                <w:szCs w:val="20"/>
                <w:color w:val="auto"/>
              </w:rPr>
            </w:pPr>
            <w:r>
              <w:rPr>
                <w:rFonts w:ascii="Arial" w:cs="Arial" w:eastAsia="Arial" w:hAnsi="Arial"/>
                <w:sz w:val="18"/>
                <w:szCs w:val="18"/>
                <w:b w:val="1"/>
                <w:bCs w:val="1"/>
                <w:color w:val="auto"/>
              </w:rPr>
              <w:t xml:space="preserve">Implied DCF per Common Unit and Common Equivalent Unit </w:t>
            </w:r>
            <w:r>
              <w:rPr>
                <w:rFonts w:ascii="Arial" w:cs="Arial" w:eastAsia="Arial" w:hAnsi="Arial"/>
                <w:sz w:val="23"/>
                <w:szCs w:val="23"/>
                <w:b w:val="1"/>
                <w:bCs w:val="1"/>
                <w:color w:val="auto"/>
                <w:vertAlign w:val="superscript"/>
              </w:rPr>
              <w:t>(1)</w:t>
            </w:r>
          </w:p>
        </w:tc>
        <w:tc>
          <w:tcPr>
            <w:tcW w:w="1680" w:type="dxa"/>
            <w:vAlign w:val="bottom"/>
            <w:gridSpan w:val="2"/>
          </w:tcPr>
          <w:p>
            <w:pPr>
              <w:jc w:val="right"/>
              <w:ind w:right="726"/>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1.63</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1.67</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tcPr>
          <w:p>
            <w:pPr>
              <w:spacing w:after="0" w:line="216" w:lineRule="exact"/>
              <w:rPr>
                <w:sz w:val="20"/>
                <w:szCs w:val="20"/>
                <w:color w:val="auto"/>
              </w:rPr>
            </w:pPr>
            <w:r>
              <w:rPr>
                <w:rFonts w:ascii="Arial" w:cs="Arial" w:eastAsia="Arial" w:hAnsi="Arial"/>
                <w:sz w:val="18"/>
                <w:szCs w:val="18"/>
                <w:b w:val="1"/>
                <w:bCs w:val="1"/>
                <w:color w:val="auto"/>
              </w:rPr>
              <w:t xml:space="preserve">Distributions per Common Unit </w:t>
            </w:r>
            <w:r>
              <w:rPr>
                <w:rFonts w:ascii="Arial" w:cs="Arial" w:eastAsia="Arial" w:hAnsi="Arial"/>
                <w:sz w:val="23"/>
                <w:szCs w:val="23"/>
                <w:b w:val="1"/>
                <w:bCs w:val="1"/>
                <w:color w:val="auto"/>
                <w:vertAlign w:val="superscript"/>
              </w:rPr>
              <w:t>(4)</w:t>
            </w:r>
          </w:p>
        </w:tc>
        <w:tc>
          <w:tcPr>
            <w:tcW w:w="1680" w:type="dxa"/>
            <w:vAlign w:val="bottom"/>
            <w:gridSpan w:val="2"/>
          </w:tcPr>
          <w:p>
            <w:pPr>
              <w:jc w:val="right"/>
              <w:ind w:right="726"/>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2.65</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1.95</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Common Unit Distribution Coverage Ratio</w:t>
            </w:r>
          </w:p>
        </w:tc>
        <w:tc>
          <w:tcPr>
            <w:tcW w:w="8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0.87x</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0.94x</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1.70x</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Data</w:t>
            </w:r>
          </w:p>
        </w:tc>
        <w:tc>
          <w:tcPr>
            <w:tcW w:w="8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160"/>
              <w:spacing w:after="0"/>
              <w:rPr>
                <w:sz w:val="20"/>
                <w:szCs w:val="20"/>
                <w:color w:val="auto"/>
              </w:rPr>
            </w:pPr>
            <w:r>
              <w:rPr>
                <w:rFonts w:ascii="Arial" w:cs="Arial" w:eastAsia="Arial" w:hAnsi="Arial"/>
                <w:sz w:val="18"/>
                <w:szCs w:val="18"/>
                <w:b w:val="1"/>
                <w:bCs w:val="1"/>
                <w:color w:val="auto"/>
              </w:rPr>
              <w:t>Transportation</w:t>
            </w: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Average daily volumes (MBbls/d)</w:t>
            </w:r>
          </w:p>
        </w:tc>
        <w:tc>
          <w:tcPr>
            <w:tcW w:w="8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4,637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5,186</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5,925</w:t>
            </w:r>
          </w:p>
        </w:tc>
        <w:tc>
          <w:tcPr>
            <w:tcW w:w="0" w:type="dxa"/>
            <w:vAlign w:val="bottom"/>
          </w:tcPr>
          <w:p>
            <w:pPr>
              <w:spacing w:after="0"/>
              <w:rPr>
                <w:sz w:val="1"/>
                <w:szCs w:val="1"/>
                <w:color w:val="auto"/>
              </w:rPr>
            </w:pPr>
          </w:p>
        </w:tc>
      </w:tr>
    </w:tbl>
    <w:p>
      <w:pPr>
        <w:sectPr>
          <w:pgSz w:w="11900" w:h="16870" w:orient="portrait"/>
          <w:cols w:equalWidth="0" w:num="1">
            <w:col w:w="11420"/>
          </w:cols>
          <w:pgMar w:left="240" w:top="584" w:right="239"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860" w:type="dxa"/>
            <w:vAlign w:val="bottom"/>
          </w:tcPr>
          <w:p>
            <w:pPr>
              <w:ind w:left="340"/>
              <w:spacing w:after="0"/>
              <w:rPr>
                <w:sz w:val="20"/>
                <w:szCs w:val="20"/>
                <w:color w:val="auto"/>
              </w:rPr>
            </w:pPr>
            <w:r>
              <w:rPr>
                <w:rFonts w:ascii="Arial" w:cs="Arial" w:eastAsia="Arial" w:hAnsi="Arial"/>
                <w:sz w:val="18"/>
                <w:szCs w:val="18"/>
                <w:color w:val="auto"/>
              </w:rPr>
              <w:t>Segment Adjusted EBITDA per barrel</w:t>
            </w:r>
          </w:p>
        </w:tc>
        <w:tc>
          <w:tcPr>
            <w:tcW w:w="2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0.67</w:t>
            </w:r>
          </w:p>
        </w:tc>
        <w:tc>
          <w:tcPr>
            <w:tcW w:w="6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0.68</w:t>
            </w:r>
          </w:p>
        </w:tc>
        <w:tc>
          <w:tcPr>
            <w:tcW w:w="6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0.71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160"/>
              <w:spacing w:after="0"/>
              <w:rPr>
                <w:sz w:val="20"/>
                <w:szCs w:val="20"/>
                <w:color w:val="auto"/>
              </w:rPr>
            </w:pPr>
            <w:r>
              <w:rPr>
                <w:rFonts w:ascii="Arial" w:cs="Arial" w:eastAsia="Arial" w:hAnsi="Arial"/>
                <w:sz w:val="18"/>
                <w:szCs w:val="18"/>
                <w:b w:val="1"/>
                <w:bCs w:val="1"/>
                <w:color w:val="auto"/>
              </w:rPr>
              <w:t>Facilities</w:t>
            </w:r>
          </w:p>
        </w:tc>
        <w:tc>
          <w:tcPr>
            <w:tcW w:w="2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Average capacity (MMBbls/Mo)</w:t>
            </w:r>
          </w:p>
        </w:tc>
        <w:tc>
          <w:tcPr>
            <w:tcW w:w="2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127</w:t>
            </w:r>
          </w:p>
        </w:tc>
        <w:tc>
          <w:tcPr>
            <w:tcW w:w="6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130</w:t>
            </w:r>
          </w:p>
        </w:tc>
        <w:tc>
          <w:tcPr>
            <w:tcW w:w="6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340"/>
              <w:spacing w:after="0"/>
              <w:rPr>
                <w:sz w:val="20"/>
                <w:szCs w:val="20"/>
                <w:color w:val="auto"/>
              </w:rPr>
            </w:pPr>
            <w:r>
              <w:rPr>
                <w:rFonts w:ascii="Arial" w:cs="Arial" w:eastAsia="Arial" w:hAnsi="Arial"/>
                <w:sz w:val="18"/>
                <w:szCs w:val="18"/>
                <w:color w:val="auto"/>
              </w:rPr>
              <w:t>Segment Adjusted EBITDA per barrel</w:t>
            </w:r>
          </w:p>
        </w:tc>
        <w:tc>
          <w:tcPr>
            <w:tcW w:w="2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0.44</w:t>
            </w:r>
          </w:p>
        </w:tc>
        <w:tc>
          <w:tcPr>
            <w:tcW w:w="6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0.47</w:t>
            </w:r>
          </w:p>
        </w:tc>
        <w:tc>
          <w:tcPr>
            <w:tcW w:w="6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160"/>
              <w:spacing w:after="0"/>
              <w:rPr>
                <w:sz w:val="20"/>
                <w:szCs w:val="20"/>
                <w:color w:val="auto"/>
              </w:rPr>
            </w:pPr>
            <w:r>
              <w:rPr>
                <w:rFonts w:ascii="Arial" w:cs="Arial" w:eastAsia="Arial" w:hAnsi="Arial"/>
                <w:sz w:val="18"/>
                <w:szCs w:val="18"/>
                <w:b w:val="1"/>
                <w:bCs w:val="1"/>
                <w:color w:val="auto"/>
              </w:rPr>
              <w:t>Supply and Logistics</w:t>
            </w:r>
          </w:p>
        </w:tc>
        <w:tc>
          <w:tcPr>
            <w:tcW w:w="2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Average daily volumes (MBbls/d)</w:t>
            </w:r>
          </w:p>
        </w:tc>
        <w:tc>
          <w:tcPr>
            <w:tcW w:w="2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1,153</w:t>
            </w:r>
          </w:p>
        </w:tc>
        <w:tc>
          <w:tcPr>
            <w:tcW w:w="6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1,219</w:t>
            </w:r>
          </w:p>
        </w:tc>
        <w:tc>
          <w:tcPr>
            <w:tcW w:w="6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340"/>
              <w:spacing w:after="0"/>
              <w:rPr>
                <w:sz w:val="20"/>
                <w:szCs w:val="20"/>
                <w:color w:val="auto"/>
              </w:rPr>
            </w:pPr>
            <w:r>
              <w:rPr>
                <w:rFonts w:ascii="Arial" w:cs="Arial" w:eastAsia="Arial" w:hAnsi="Arial"/>
                <w:sz w:val="18"/>
                <w:szCs w:val="18"/>
                <w:color w:val="auto"/>
              </w:rPr>
              <w:t>Segment Adjusted EBITDA per barrel</w:t>
            </w:r>
          </w:p>
        </w:tc>
        <w:tc>
          <w:tcPr>
            <w:tcW w:w="2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0.85</w:t>
            </w:r>
          </w:p>
        </w:tc>
        <w:tc>
          <w:tcPr>
            <w:tcW w:w="6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0.13</w:t>
            </w:r>
          </w:p>
        </w:tc>
        <w:tc>
          <w:tcPr>
            <w:tcW w:w="6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6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b w:val="1"/>
                <w:bCs w:val="1"/>
                <w:color w:val="auto"/>
              </w:rPr>
              <w:t>Expansion Capital</w:t>
            </w:r>
          </w:p>
        </w:tc>
        <w:tc>
          <w:tcPr>
            <w:tcW w:w="224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50"/>
              <w:spacing w:after="0"/>
              <w:rPr>
                <w:sz w:val="20"/>
                <w:szCs w:val="20"/>
                <w:color w:val="auto"/>
              </w:rPr>
            </w:pPr>
            <w:r>
              <w:rPr>
                <w:rFonts w:ascii="Arial" w:cs="Arial" w:eastAsia="Arial" w:hAnsi="Arial"/>
                <w:sz w:val="18"/>
                <w:szCs w:val="18"/>
                <w:b w:val="1"/>
                <w:bCs w:val="1"/>
                <w:color w:val="auto"/>
              </w:rPr>
              <w:t>1,405</w:t>
            </w:r>
          </w:p>
        </w:tc>
        <w:tc>
          <w:tcPr>
            <w:tcW w:w="66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50"/>
              <w:spacing w:after="0"/>
              <w:rPr>
                <w:sz w:val="20"/>
                <w:szCs w:val="20"/>
                <w:color w:val="auto"/>
              </w:rPr>
            </w:pPr>
            <w:r>
              <w:rPr>
                <w:rFonts w:ascii="Arial" w:cs="Arial" w:eastAsia="Arial" w:hAnsi="Arial"/>
                <w:sz w:val="18"/>
                <w:szCs w:val="18"/>
                <w:b w:val="1"/>
                <w:bCs w:val="1"/>
                <w:color w:val="auto"/>
              </w:rPr>
              <w:t>1,135</w:t>
            </w:r>
          </w:p>
        </w:tc>
        <w:tc>
          <w:tcPr>
            <w:tcW w:w="66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90"/>
              <w:spacing w:after="0"/>
              <w:rPr>
                <w:sz w:val="20"/>
                <w:szCs w:val="20"/>
                <w:color w:val="auto"/>
              </w:rPr>
            </w:pPr>
            <w:r>
              <w:rPr>
                <w:rFonts w:ascii="Arial" w:cs="Arial" w:eastAsia="Arial" w:hAnsi="Arial"/>
                <w:sz w:val="18"/>
                <w:szCs w:val="18"/>
                <w:b w:val="1"/>
                <w:bCs w:val="1"/>
                <w:color w:val="auto"/>
              </w:rPr>
              <w:t>1,400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00" w:type="dxa"/>
            <w:vAlign w:val="bottom"/>
          </w:tcPr>
          <w:p>
            <w:pPr>
              <w:spacing w:after="0"/>
              <w:rPr>
                <w:sz w:val="20"/>
                <w:szCs w:val="20"/>
                <w:color w:val="auto"/>
              </w:rPr>
            </w:pPr>
            <w:r>
              <w:rPr>
                <w:rFonts w:ascii="Arial" w:cs="Arial" w:eastAsia="Arial" w:hAnsi="Arial"/>
                <w:sz w:val="18"/>
                <w:szCs w:val="18"/>
                <w:b w:val="1"/>
                <w:bCs w:val="1"/>
                <w:color w:val="auto"/>
                <w:w w:val="91"/>
              </w:rPr>
              <w:t>Second-Quarter Adjusted EBITDA as Percentage of Full Year</w:t>
            </w:r>
          </w:p>
        </w:tc>
        <w:tc>
          <w:tcPr>
            <w:tcW w:w="1920" w:type="dxa"/>
            <w:vAlign w:val="bottom"/>
          </w:tcPr>
          <w:p>
            <w:pPr>
              <w:spacing w:after="0"/>
              <w:rPr>
                <w:sz w:val="20"/>
                <w:szCs w:val="20"/>
                <w:color w:val="auto"/>
              </w:rPr>
            </w:pPr>
          </w:p>
        </w:tc>
        <w:tc>
          <w:tcPr>
            <w:tcW w:w="2540" w:type="dxa"/>
            <w:vAlign w:val="bottom"/>
          </w:tcPr>
          <w:p>
            <w:pPr>
              <w:jc w:val="right"/>
              <w:ind w:right="1030"/>
              <w:spacing w:after="0"/>
              <w:rPr>
                <w:sz w:val="20"/>
                <w:szCs w:val="20"/>
                <w:color w:val="auto"/>
              </w:rPr>
            </w:pPr>
            <w:r>
              <w:rPr>
                <w:rFonts w:ascii="Arial" w:cs="Arial" w:eastAsia="Arial" w:hAnsi="Arial"/>
                <w:sz w:val="18"/>
                <w:szCs w:val="18"/>
                <w:b w:val="1"/>
                <w:bCs w:val="1"/>
                <w:color w:val="auto"/>
              </w:rPr>
              <w:t>22%</w:t>
            </w: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22%</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19% - 20%</w:t>
            </w:r>
          </w:p>
        </w:tc>
        <w:tc>
          <w:tcPr>
            <w:tcW w:w="40" w:type="dxa"/>
            <w:vAlign w:val="bottom"/>
          </w:tcPr>
          <w:p>
            <w:pPr>
              <w:spacing w:after="0"/>
              <w:rPr>
                <w:sz w:val="20"/>
                <w:szCs w:val="20"/>
                <w:color w:val="auto"/>
              </w:rPr>
            </w:pPr>
          </w:p>
        </w:tc>
      </w:tr>
      <w:tr>
        <w:trPr>
          <w:trHeight w:val="414"/>
        </w:trPr>
        <w:tc>
          <w:tcPr>
            <w:tcW w:w="48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rPr>
              <w:t>- more -</w:t>
            </w:r>
          </w:p>
        </w:tc>
        <w:tc>
          <w:tcPr>
            <w:tcW w:w="25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28"/>
        </w:trPr>
        <w:tc>
          <w:tcPr>
            <w:tcW w:w="4800" w:type="dxa"/>
            <w:vAlign w:val="bottom"/>
          </w:tcPr>
          <w:p>
            <w:pPr>
              <w:ind w:left="2300"/>
              <w:spacing w:after="0"/>
              <w:rPr>
                <w:sz w:val="20"/>
                <w:szCs w:val="20"/>
                <w:color w:val="auto"/>
              </w:rPr>
            </w:pPr>
            <w:r>
              <w:rPr>
                <w:rFonts w:ascii="Arial" w:cs="Arial" w:eastAsia="Arial" w:hAnsi="Arial"/>
                <w:sz w:val="18"/>
                <w:szCs w:val="18"/>
                <w:b w:val="1"/>
                <w:bCs w:val="1"/>
                <w:color w:val="auto"/>
              </w:rPr>
              <w:t>333 Clay Street, Suite 1600</w:t>
            </w:r>
          </w:p>
        </w:tc>
        <w:tc>
          <w:tcPr>
            <w:tcW w:w="1920" w:type="dxa"/>
            <w:vAlign w:val="bottom"/>
          </w:tcPr>
          <w:p>
            <w:pPr>
              <w:ind w:left="20"/>
              <w:spacing w:after="0"/>
              <w:rPr>
                <w:sz w:val="20"/>
                <w:szCs w:val="20"/>
                <w:color w:val="auto"/>
              </w:rPr>
            </w:pPr>
            <w:r>
              <w:rPr>
                <w:rFonts w:ascii="Arial" w:cs="Arial" w:eastAsia="Arial" w:hAnsi="Arial"/>
                <w:sz w:val="18"/>
                <w:szCs w:val="18"/>
                <w:b w:val="1"/>
                <w:bCs w:val="1"/>
                <w:color w:val="auto"/>
                <w:w w:val="99"/>
              </w:rPr>
              <w:t>Houston, Texas 77002</w:t>
            </w:r>
          </w:p>
        </w:tc>
        <w:tc>
          <w:tcPr>
            <w:tcW w:w="254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713-646-4100 / 866-809-1291</w:t>
            </w:r>
          </w:p>
        </w:tc>
        <w:tc>
          <w:tcPr>
            <w:tcW w:w="9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343"/>
        </w:trPr>
        <w:tc>
          <w:tcPr>
            <w:tcW w:w="4800" w:type="dxa"/>
            <w:vAlign w:val="bottom"/>
            <w:tcBorders>
              <w:bottom w:val="single" w:sz="8" w:color="808080"/>
            </w:tcBorders>
          </w:tcPr>
          <w:p>
            <w:pPr>
              <w:spacing w:after="0"/>
              <w:rPr>
                <w:sz w:val="24"/>
                <w:szCs w:val="24"/>
                <w:color w:val="auto"/>
              </w:rPr>
            </w:pPr>
          </w:p>
        </w:tc>
        <w:tc>
          <w:tcPr>
            <w:tcW w:w="1920" w:type="dxa"/>
            <w:vAlign w:val="bottom"/>
            <w:tcBorders>
              <w:bottom w:val="single" w:sz="8" w:color="808080"/>
            </w:tcBorders>
          </w:tcPr>
          <w:p>
            <w:pPr>
              <w:spacing w:after="0"/>
              <w:rPr>
                <w:sz w:val="24"/>
                <w:szCs w:val="24"/>
                <w:color w:val="auto"/>
              </w:rPr>
            </w:pPr>
          </w:p>
        </w:tc>
        <w:tc>
          <w:tcPr>
            <w:tcW w:w="254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12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182689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(G)  2018 Guidance forecasts are intended to be + / - amounts.</w:t>
      </w:r>
    </w:p>
    <w:p>
      <w:pPr>
        <w:spacing w:after="0" w:line="225" w:lineRule="exact"/>
        <w:rPr>
          <w:sz w:val="20"/>
          <w:szCs w:val="20"/>
          <w:color w:val="auto"/>
        </w:rPr>
      </w:pPr>
    </w:p>
    <w:p>
      <w:pPr>
        <w:ind w:left="340" w:right="80" w:hanging="332"/>
        <w:spacing w:after="0" w:line="259" w:lineRule="auto"/>
        <w:tabs>
          <w:tab w:leader="none" w:pos="328" w:val="left"/>
        </w:tabs>
        <w:numPr>
          <w:ilvl w:val="0"/>
          <w:numId w:val="4"/>
        </w:numPr>
        <w:rPr>
          <w:rFonts w:ascii="Arial" w:cs="Arial" w:eastAsia="Arial" w:hAnsi="Arial"/>
          <w:sz w:val="22"/>
          <w:szCs w:val="22"/>
          <w:color w:val="auto"/>
          <w:vertAlign w:val="superscript"/>
        </w:rPr>
      </w:pPr>
      <w:r>
        <w:rPr>
          <w:rFonts w:ascii="Arial" w:cs="Arial" w:eastAsia="Arial" w:hAnsi="Arial"/>
          <w:sz w:val="17"/>
          <w:szCs w:val="17"/>
          <w:color w:val="auto"/>
        </w:rPr>
        <w:t>See the section of this release entitled “Non-GAAP Financial Measures and Selected Items Impacting Comparability” and the Non-GAAP Reconciliation tables attached hereto for information regarding non-GAAP financial measures and, for the historical 2016 and 2017 periods, their reconciliation to the most directly comparable measures as reported in accordance with GAAP. We do not provide a reconciliation of non-GAAP financial measures to the equivalent GAAP financial measures on a forward-looking basis as it is impractical to forecast certain items that we have defined as “Selected Items Impacting Comparability” without unreasonable effort, due to the uncertainty and inherent difficulty of predicting the occurrence and financial impact of and the periods in which such items may be recognized. Thus, a reconciliation of non-GAAP financial measures to the equivalent GAAP financial measures could result in disclosure that could be imprecise or potentially misleading.</w:t>
      </w:r>
    </w:p>
    <w:p>
      <w:pPr>
        <w:spacing w:after="0" w:line="167" w:lineRule="exact"/>
        <w:rPr>
          <w:rFonts w:ascii="Arial" w:cs="Arial" w:eastAsia="Arial" w:hAnsi="Arial"/>
          <w:sz w:val="22"/>
          <w:szCs w:val="22"/>
          <w:color w:val="auto"/>
          <w:vertAlign w:val="superscript"/>
        </w:rPr>
      </w:pPr>
    </w:p>
    <w:p>
      <w:pPr>
        <w:ind w:left="320" w:hanging="312"/>
        <w:spacing w:after="0"/>
        <w:tabs>
          <w:tab w:leader="none" w:pos="320" w:val="left"/>
        </w:tabs>
        <w:numPr>
          <w:ilvl w:val="0"/>
          <w:numId w:val="4"/>
        </w:numPr>
        <w:rPr>
          <w:rFonts w:ascii="Arial" w:cs="Arial" w:eastAsia="Arial" w:hAnsi="Arial"/>
          <w:sz w:val="22"/>
          <w:szCs w:val="22"/>
          <w:color w:val="auto"/>
          <w:vertAlign w:val="superscript"/>
        </w:rPr>
      </w:pPr>
      <w:r>
        <w:rPr>
          <w:rFonts w:ascii="Arial" w:cs="Arial" w:eastAsia="Arial" w:hAnsi="Arial"/>
          <w:sz w:val="17"/>
          <w:szCs w:val="17"/>
          <w:color w:val="auto"/>
        </w:rPr>
        <w:t>Excludes certain non-cash items impacting interest expense such as amortization of debt issuance costs and terminated interest rate swaps.</w:t>
      </w:r>
    </w:p>
    <w:p>
      <w:pPr>
        <w:spacing w:after="0" w:line="201" w:lineRule="exact"/>
        <w:rPr>
          <w:rFonts w:ascii="Arial" w:cs="Arial" w:eastAsia="Arial" w:hAnsi="Arial"/>
          <w:sz w:val="22"/>
          <w:szCs w:val="22"/>
          <w:color w:val="auto"/>
          <w:vertAlign w:val="superscript"/>
        </w:rPr>
      </w:pPr>
    </w:p>
    <w:p>
      <w:pPr>
        <w:ind w:left="340" w:right="180" w:hanging="332"/>
        <w:spacing w:after="0"/>
        <w:tabs>
          <w:tab w:leader="none" w:pos="328" w:val="left"/>
        </w:tabs>
        <w:numPr>
          <w:ilvl w:val="0"/>
          <w:numId w:val="4"/>
        </w:numPr>
        <w:rPr>
          <w:rFonts w:ascii="Arial" w:cs="Arial" w:eastAsia="Arial" w:hAnsi="Arial"/>
          <w:sz w:val="23"/>
          <w:szCs w:val="23"/>
          <w:color w:val="auto"/>
          <w:vertAlign w:val="superscript"/>
        </w:rPr>
      </w:pPr>
      <w:r>
        <w:rPr>
          <w:rFonts w:ascii="Arial" w:cs="Arial" w:eastAsia="Arial" w:hAnsi="Arial"/>
          <w:sz w:val="18"/>
          <w:szCs w:val="18"/>
          <w:color w:val="auto"/>
        </w:rPr>
        <w:t>Cash distributions paid to our preferred unitholders during the year presented. The distribution requirement of our Series A preferred units was paid-in-kind for all 2016 and 2017 quarterly distributions and for the February 2018 quarterly distribution. Distributions on our Series A preferred units must be paid in cash beginning with the May 2018 quarterly distribution. The distribution requirement of our Series B preferred units, which were issued in October 2017, is payable semi-annually in arrears on May 15 and November 15. A pro-rated initial distribution on the Series B preferred units was paid on November 15, 2017.</w:t>
      </w:r>
    </w:p>
    <w:p>
      <w:pPr>
        <w:spacing w:after="0" w:line="170"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4"/>
        </w:numPr>
        <w:rPr>
          <w:rFonts w:ascii="Arial" w:cs="Arial" w:eastAsia="Arial" w:hAnsi="Arial"/>
          <w:sz w:val="23"/>
          <w:szCs w:val="23"/>
          <w:color w:val="auto"/>
          <w:vertAlign w:val="superscript"/>
        </w:rPr>
      </w:pPr>
      <w:r>
        <w:rPr>
          <w:rFonts w:ascii="Arial" w:cs="Arial" w:eastAsia="Arial" w:hAnsi="Arial"/>
          <w:sz w:val="18"/>
          <w:szCs w:val="18"/>
          <w:color w:val="auto"/>
        </w:rPr>
        <w:t>Cash distributions per common unit paid during 2016 and 2017. 2018(G) reflects the current distribution rate held constant.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w:t>
      </w:r>
    </w:p>
    <w:p>
      <w:pPr>
        <w:spacing w:after="0" w:line="229" w:lineRule="exact"/>
        <w:rPr>
          <w:sz w:val="20"/>
          <w:szCs w:val="20"/>
          <w:color w:val="auto"/>
        </w:rPr>
      </w:pPr>
    </w:p>
    <w:p>
      <w:pPr>
        <w:jc w:val="both"/>
        <w:ind w:right="360" w:firstLine="648"/>
        <w:spacing w:after="0" w:line="286" w:lineRule="auto"/>
        <w:rPr>
          <w:sz w:val="20"/>
          <w:szCs w:val="20"/>
          <w:color w:val="auto"/>
        </w:rPr>
      </w:pPr>
      <w:r>
        <w:rPr>
          <w:rFonts w:ascii="Arial" w:cs="Arial" w:eastAsia="Arial" w:hAnsi="Arial"/>
          <w:sz w:val="17"/>
          <w:szCs w:val="17"/>
          <w:color w:val="auto"/>
        </w:rPr>
        <w:t>PAGP owns an indirect non-economic controlling interest in PAA’s general partner and an indirect limited partner interest in PAA. As the control entity of PAA, PAGP consolidates PAA’s results into its financial statements, which is reflected in the condensed consolidating balance sheet and income statement tables included at the end of this release. Information regarding PAGP’s distributions is reflected below:</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Q1 2018</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Q4 2017</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2"/>
          </w:tcPr>
          <w:p>
            <w:pPr>
              <w:jc w:val="right"/>
              <w:ind w:right="630"/>
              <w:spacing w:after="0"/>
              <w:rPr>
                <w:sz w:val="20"/>
                <w:szCs w:val="20"/>
                <w:color w:val="auto"/>
              </w:rPr>
            </w:pPr>
            <w:r>
              <w:rPr>
                <w:rFonts w:ascii="Arial" w:cs="Arial" w:eastAsia="Arial" w:hAnsi="Arial"/>
                <w:sz w:val="14"/>
                <w:szCs w:val="14"/>
                <w:b w:val="1"/>
                <w:bCs w:val="1"/>
                <w:color w:val="auto"/>
              </w:rPr>
              <w:t>Q1 2017</w:t>
            </w:r>
          </w:p>
        </w:tc>
      </w:tr>
      <w:tr>
        <w:trPr>
          <w:trHeight w:val="210"/>
        </w:trPr>
        <w:tc>
          <w:tcPr>
            <w:tcW w:w="6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Distribution per Class A share declared for the period</w:t>
            </w:r>
          </w:p>
        </w:tc>
        <w:tc>
          <w:tcPr>
            <w:tcW w:w="980" w:type="dxa"/>
            <w:vAlign w:val="bottom"/>
            <w:tcBorders>
              <w:top w:val="single" w:sz="8" w:color="auto"/>
            </w:tcBorders>
            <w:shd w:val="clear" w:color="auto" w:fill="CCEEFF"/>
          </w:tcPr>
          <w:p>
            <w:pPr>
              <w:jc w:val="right"/>
              <w:ind w:right="827"/>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0.30</w:t>
            </w:r>
          </w:p>
        </w:tc>
        <w:tc>
          <w:tcPr>
            <w:tcW w:w="2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ind w:right="819"/>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0.30</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280" w:type="dxa"/>
            <w:vAlign w:val="bottom"/>
            <w:tcBorders>
              <w:top w:val="single" w:sz="8" w:color="CCEEFF"/>
            </w:tcBorders>
            <w:shd w:val="clear" w:color="auto" w:fill="CCEEFF"/>
          </w:tcPr>
          <w:p>
            <w:pPr>
              <w:spacing w:after="0"/>
              <w:rPr>
                <w:sz w:val="18"/>
                <w:szCs w:val="18"/>
                <w:color w:val="auto"/>
              </w:rPr>
            </w:pPr>
          </w:p>
        </w:tc>
      </w:tr>
      <w:tr>
        <w:trPr>
          <w:trHeight w:val="210"/>
        </w:trPr>
        <w:tc>
          <w:tcPr>
            <w:tcW w:w="6500" w:type="dxa"/>
            <w:vAlign w:val="bottom"/>
          </w:tcPr>
          <w:p>
            <w:pPr>
              <w:spacing w:after="0"/>
              <w:rPr>
                <w:sz w:val="20"/>
                <w:szCs w:val="20"/>
                <w:color w:val="auto"/>
              </w:rPr>
            </w:pPr>
            <w:r>
              <w:rPr>
                <w:rFonts w:ascii="Arial" w:cs="Arial" w:eastAsia="Arial" w:hAnsi="Arial"/>
                <w:sz w:val="18"/>
                <w:szCs w:val="18"/>
                <w:b w:val="1"/>
                <w:bCs w:val="1"/>
                <w:color w:val="auto"/>
              </w:rPr>
              <w:t>Q1 2018 distribution percentage change from prior periods</w:t>
            </w: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6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Conference Call</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PAA and PAGP will hold a joint conference call at 4:00 p.m. CT on Tuesday, May 8, 2018 to discuss the following items:</w:t>
      </w:r>
    </w:p>
    <w:p>
      <w:pPr>
        <w:spacing w:after="0" w:line="225" w:lineRule="exact"/>
        <w:rPr>
          <w:sz w:val="20"/>
          <w:szCs w:val="20"/>
          <w:color w:val="auto"/>
        </w:rPr>
      </w:pPr>
    </w:p>
    <w:p>
      <w:pPr>
        <w:ind w:left="1140" w:hanging="322"/>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PAA’s first-quarter 2018 performance;</w:t>
      </w:r>
    </w:p>
    <w:p>
      <w:pPr>
        <w:spacing w:after="0" w:line="23" w:lineRule="exact"/>
        <w:rPr>
          <w:rFonts w:ascii="Arial" w:cs="Arial" w:eastAsia="Arial" w:hAnsi="Arial"/>
          <w:sz w:val="18"/>
          <w:szCs w:val="18"/>
          <w:color w:val="auto"/>
        </w:rPr>
      </w:pPr>
    </w:p>
    <w:p>
      <w:pPr>
        <w:ind w:left="1140" w:hanging="322"/>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Financial and operating guidance for the full year of 2018;</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Capitalization and liquidity; and</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PAA and PAGP’s outlook for the future.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Conference Call Webcast Instructions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access the internet webcast please go to https://event.webcasts.com/starthere.jsp?ei=1188859&amp;tp_key=2db2d6dbfd</w:t>
      </w:r>
    </w:p>
    <w:p>
      <w:pPr>
        <w:spacing w:after="0" w:line="22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Alternatively, the webcast can be accessed at www.plainsallamerican.com, under the Investor Relations section of the website (Navigate to: Investor Relations / either “PAA” or “PAGP” / News &amp; Events / Quarterly Earnings). Following the live webcast, an audio replay in MP3 format will be available on the website within two hours after the end of the call and will be accessible for a period of 365 days. A transcript will also be available after the call at the above referenced website.</w:t>
      </w:r>
    </w:p>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5" w:right="199" w:bottom="239" w:gutter="0" w:footer="0" w:header="0"/>
        </w:sectPr>
      </w:pPr>
    </w:p>
    <w:bookmarkStart w:id="5" w:name="page6"/>
    <w:bookmarkEnd w:id="5"/>
    <w:p>
      <w:pPr>
        <w:spacing w:after="0" w:line="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 and Selected Items Impacting Comparability</w:t>
      </w:r>
    </w:p>
    <w:p>
      <w:pPr>
        <w:spacing w:after="0" w:line="225"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To supplement our financial information presented in accordance with GAAP, management uses additional measures known as “non-GAAP financial measures” in its evaluation of past performance and prospects for the future. The primary additional measures used by management are earnings before interest, taxes, depreciation and amortization (including our proportionate share of depreciation and amortization and gains or losses on significant asset sales of unconsolidated entities) and adjusted for certain selected items impacting comparability (“Adjusted EBITDA”) and implied distributable cash flow (“DCF”).</w:t>
      </w:r>
    </w:p>
    <w:p>
      <w:pPr>
        <w:spacing w:after="0" w:line="188"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Management believes that the presentation of such additional financial measures provides useful information to investors regarding our performance and results of operations because these measures, when used to supplement related GAAP financial measures, (i) provide additional information about our core operating performance and ability to fund distributions to our unitholders through cash generated by our operations and (ii) provide investors with the same financial analytical framework upon which management bases financial, operational, compensation and planning/budgeting decisions. We also present these and additional non-GAAP financial measures, including adjusted net income attributable to PAA and basic and diluted adjusted net income per common unit, as they are measurements that investors, rating agencies and debt holders have indicated are useful in assessing us and our results of operations. These non-GAAP measures may exclude, for example, (i) charges for obligations that are expected to be settled with the issuance of equity instruments, (ii) gains or losses on derivative instruments that are related to underlying activities in another period (or the reversal of such adjustments from a prior period), the mark-to-market related to our Preferred Distribution Rate Reset Option, gains and losses on derivatives that are related to investing activities (such as the purchase of linefill) and inventory valuation adjustments, as applicable, (iii) long-term inventory costing adjustments, (iv) items that are not indicative of our core operating results and business outlook and/or (v) other items that we believe should be excluded in understanding our core operating performance. These measures may further be adjusted to include amounts related to deficiencies associated with minimum volume commitments whereby we have billed the counterparties for their deficiency obligation and such amounts are recognized as deferred revenue in “Accounts payable and accrued liabilities” on our Condensed Consolidated Financial Statements. Such amounts are presented net of applicable amounts subsequently recognized into revenue. Furthermore, the calculation of these measures contemplates tax effects as a separate reconciling item, where applicable. We have defined all such items as “selected items impacting comparability.” Due to the nature of the selected items, certain selected items impacting comparability may impact certain non-GAAP financial measures, referred to as adjusted results, but not impact other non-GAAP financial measures. We do not necessarily consider all of our selected items impacting comparability to be non-recurring, infrequent or unusual, but we believe that an understanding of these selected items impacting comparability is material to the evaluation of our operating results and prospects.</w:t>
      </w:r>
    </w:p>
    <w:p>
      <w:pPr>
        <w:spacing w:after="0" w:line="171"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Although we present selected items impacting comparability that management considers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expansion projects and numerous other factors. These types of variations are not separately identified in this release, but will be discussed, as applicable, in management’s discussion and analysis of operating results in our Quarterly Report on Form 10-Q.</w:t>
      </w:r>
    </w:p>
    <w:p>
      <w:pPr>
        <w:spacing w:after="0" w:line="188"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Our definition and calculation of certain non-GAAP financial measures may not be comparable to similarly-titled measures of other companies. Adjusted EBITDA, Implied DCF and other non-GAAP financial performance measures are reconciled to Net Income (the most directly comparable measure as reported in accordance with GAAP) for the historical periods presented in the tables attached to this release, and should be viewed in addition to, and not in lieu of, our Condensed Consolidated Financial Statements and notes thereto. In addition, we encourage you to visit our website at www.plainsallamerican.com (in particular the section under “Financial Information” entitled “Non-GAAP Reconciliations” within the Investor Relations tab), which presents a reconciliation of our commonly used non-GAAP and supplemental financial measures.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25"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Except for the historical information contained herein, the matters discussed in this release consist of forward-looking statements that involve certain risks and uncertainties that could cause actual results or outcomes to differ materially from results or outcomes anticipated in the forward-looking statements. These risks and uncertainties include, among other things, declines in the actual or expected volume of crude oil and NGL shipped, processed, purchased, stored, fractionated and/or gathered at or through the use of our assets, whether due to declines in production from existing oil and gas reserves, reduced demand, failure to develop or slowdown in the development of additional oil and gas reserves, whether from reduced cash flow to fund drilling or the inability to access capital, or other factors; the effects of competition; market distortions caused by over-commitments to infrastructure projects, which impacts volumes, margins, returns and overall earnings; unanticipated changes in crude oil and NGL market structure, grade differentials and volatility (or lack thereof); maintenance of our credit rating and ability to receive open credit from our suppliers and trade counterparties; environmental liabilities or events that are not covered by an indemnity, insurance or existing reserves; fluctuations in refinery capacity in areas supplied by our mainlines and other factors affecting demand for various grades of crude oil and natural gas and resulting changes in pricing conditions or transportation throughput requirements; the occurrence of a natural disaster, catastrophe, terrorist attack (including eco-terrorist attacks) or other event, including attacks on our electronic and computer systems; failure to implement or capitalize, or delays in implementing or capitalizing, on expansion projects, whether due to permitting delays, permitting withdrawals or other factors; tightened capital markets or other factors that increase our cost of capital or limit our ability to obtain debt or equity financing on satisfactory terms to fund additional acquisitions, expansion projects, working capital requirements and the repayment or refinancing of indebtedness; the successful integration and future performance of acquired assets or businesses and the risks associated with operating in lines of business that are distinct and separate from our historical operations; the failure to consummate, or significant delay in consummating, sales of assets or interests as a part of our strategic divestiture program; the impact of current and future laws, rulings, governmental regulations, accounting standards and statements, and related interpretations; the currency exchange rate of the Canadian dollar; continued creditworthiness of, and performance by, our counterparties, including financial institutions and trading companies with which we do business; inability to recognize current revenue attributable to deficiency payments received from customers who fail to ship or move more than minimum contracted volumes until the related credits expire or are used; non-utilization of our assets and facilities; increased costs, or lack of availability, of insurance; weather interference with business operations or project construction, including the impact of extreme weather events or</w:t>
      </w:r>
    </w:p>
    <w:p>
      <w:pPr>
        <w:sectPr>
          <w:pgSz w:w="11900" w:h="16917" w:orient="portrait"/>
          <w:cols w:equalWidth="0" w:num="1">
            <w:col w:w="11420"/>
          </w:cols>
          <w:pgMar w:left="240" w:top="584" w:right="239" w:bottom="0" w:gutter="0" w:footer="0" w:header="0"/>
        </w:sectPr>
      </w:pPr>
    </w:p>
    <w:bookmarkStart w:id="6" w:name="page7"/>
    <w:bookmarkEnd w:id="6"/>
    <w:p>
      <w:pPr>
        <w:spacing w:after="0" w:line="62"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conditions; the availability of, and our ability to consummate, acquisition or combination opportunities; the effectiveness of our risk management activities; shortages or cost increases of supplies, materials or labor; fluctuations in the debt and equity markets, including the price of our units at the time of vesting under our long-term incentive plans; risks related to the development and operation of our assets, including our ability to satisfy our contractual obligations to our customers; factors affecting demand for natural gas and natural gas storage services and rates; general economic, market or business conditions and the amplification of other risks caused by volatile financial markets, capital constraints and pervasive liquidity concerns; and other factors and uncertainties inherent in the transportation, storage, terminalling and marketing of crude oil, as well as in the storage of natural gas and the processing, transportation, fractionation, storage and marketing of natural gas liquids as discussed in the Partnerships’ filings with the Securities and Exchange Commission.</w:t>
      </w:r>
    </w:p>
    <w:p>
      <w:pPr>
        <w:spacing w:after="0" w:line="16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Plains All American Pipeline, L.P. is a publicly traded master limited partnership that owns and operates midstream energy infrastructure and provides logistics services for crude oil, NGLs and natural gas. PAA owns an extensive network of pipeline transportation, terminalling, storage and gathering assets in key crude oil and NGL producing basins and transportation corridors and at major market hubs in the United States and Canada. On average, PAA handles more than 5 million barrels per day of crude oil and NGL in its Transportation segment. PAA is headquartered in Houston, Texas. More information is available at www.plainsallamerican.com.</w:t>
      </w:r>
    </w:p>
    <w:p>
      <w:pPr>
        <w:spacing w:after="0" w:line="188"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Plains GP Holdings is a publicly traded entity that owns an indirect, non-economic controlling general partner interest in PAA and an indirect limited partner interest in PAA, one of the largest energy infrastructure and logistics companies in North America. PAGP is headquartered in Houston, Texas. More information is available at www.plainsallamerican.com.</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CONSOLIDATED STATEMENTS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data)</w:t>
      </w:r>
    </w:p>
    <w:p>
      <w:pPr>
        <w:spacing w:after="0" w:line="202"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Three Months Ended</w:t>
      </w:r>
    </w:p>
    <w:p>
      <w:pPr>
        <w:jc w:val="center"/>
        <w:ind w:left="82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2800" w:type="dxa"/>
            <w:vAlign w:val="bottom"/>
            <w:tcBorders>
              <w:bottom w:val="single" w:sz="8" w:color="CCEEFF"/>
            </w:tcBorders>
          </w:tcPr>
          <w:p>
            <w:pPr>
              <w:spacing w:after="0"/>
              <w:rPr>
                <w:sz w:val="12"/>
                <w:szCs w:val="12"/>
                <w:color w:val="auto"/>
              </w:rPr>
            </w:pPr>
          </w:p>
        </w:tc>
        <w:tc>
          <w:tcPr>
            <w:tcW w:w="3460" w:type="dxa"/>
            <w:vAlign w:val="bottom"/>
            <w:tcBorders>
              <w:bottom w:val="single" w:sz="8" w:color="CCEEFF"/>
            </w:tcBorders>
          </w:tcPr>
          <w:p>
            <w:pPr>
              <w:spacing w:after="0"/>
              <w:rPr>
                <w:sz w:val="12"/>
                <w:szCs w:val="12"/>
                <w:color w:val="auto"/>
              </w:rPr>
            </w:pPr>
          </w:p>
        </w:tc>
        <w:tc>
          <w:tcPr>
            <w:tcW w:w="202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54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0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59"/>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8,398</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20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Purchases and related costs</w:t>
            </w:r>
          </w:p>
        </w:tc>
        <w:tc>
          <w:tcPr>
            <w:tcW w:w="20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7,519</w:t>
            </w: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5,593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Field operating costs</w:t>
            </w:r>
          </w:p>
        </w:tc>
        <w:tc>
          <w:tcPr>
            <w:tcW w:w="20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292</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General and administrative expenses</w:t>
            </w:r>
          </w:p>
        </w:tc>
        <w:tc>
          <w:tcPr>
            <w:tcW w:w="20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79</w:t>
            </w: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0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127</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gridSpan w:val="2"/>
          </w:tcPr>
          <w:p>
            <w:pPr>
              <w:ind w:left="160"/>
              <w:spacing w:after="0"/>
              <w:rPr>
                <w:sz w:val="20"/>
                <w:szCs w:val="20"/>
                <w:color w:val="auto"/>
              </w:rPr>
            </w:pPr>
            <w:r>
              <w:rPr>
                <w:rFonts w:ascii="Arial" w:cs="Arial" w:eastAsia="Arial" w:hAnsi="Arial"/>
                <w:sz w:val="18"/>
                <w:szCs w:val="18"/>
                <w:color w:val="auto"/>
              </w:rPr>
              <w:t>Total costs and expenses</w:t>
            </w:r>
          </w:p>
        </w:tc>
        <w:tc>
          <w:tcPr>
            <w:tcW w:w="202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8,017</w:t>
            </w:r>
          </w:p>
        </w:tc>
        <w:tc>
          <w:tcPr>
            <w:tcW w:w="28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346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20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381</w:t>
            </w: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591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346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gridSpan w:val="2"/>
          </w:tcPr>
          <w:p>
            <w:pPr>
              <w:spacing w:after="0"/>
              <w:rPr>
                <w:sz w:val="20"/>
                <w:szCs w:val="20"/>
                <w:color w:val="auto"/>
              </w:rPr>
            </w:pPr>
            <w:r>
              <w:rPr>
                <w:rFonts w:ascii="Arial" w:cs="Arial" w:eastAsia="Arial" w:hAnsi="Arial"/>
                <w:sz w:val="18"/>
                <w:szCs w:val="18"/>
                <w:b w:val="1"/>
                <w:bCs w:val="1"/>
                <w:color w:val="auto"/>
              </w:rPr>
              <w:t>OTHER INCOME/(EXPENSE)</w:t>
            </w:r>
          </w:p>
        </w:tc>
        <w:tc>
          <w:tcPr>
            <w:tcW w:w="20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earnings in unconsolidated entities</w:t>
            </w:r>
          </w:p>
        </w:tc>
        <w:tc>
          <w:tcPr>
            <w:tcW w:w="20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Interest expense, net</w:t>
            </w:r>
          </w:p>
        </w:tc>
        <w:tc>
          <w:tcPr>
            <w:tcW w:w="20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(106)</w:t>
            </w:r>
          </w:p>
        </w:tc>
        <w:tc>
          <w:tcPr>
            <w:tcW w:w="5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20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80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INCOME BEFORE TAX</w:t>
            </w:r>
          </w:p>
        </w:tc>
        <w:tc>
          <w:tcPr>
            <w:tcW w:w="20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349</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Current income tax expense</w:t>
            </w:r>
          </w:p>
        </w:tc>
        <w:tc>
          <w:tcPr>
            <w:tcW w:w="20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(13)</w:t>
            </w:r>
          </w:p>
        </w:tc>
        <w:tc>
          <w:tcPr>
            <w:tcW w:w="5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 expense</w:t>
            </w:r>
          </w:p>
        </w:tc>
        <w:tc>
          <w:tcPr>
            <w:tcW w:w="20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80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2860" w:type="dxa"/>
            <w:vAlign w:val="bottom"/>
            <w:gridSpan w:val="2"/>
            <w:shd w:val="clear" w:color="auto" w:fill="CCEEFF"/>
          </w:tcPr>
          <w:p>
            <w:pPr>
              <w:jc w:val="right"/>
              <w:ind w:right="659"/>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288</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346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80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 PER COMMON UNIT:</w:t>
            </w:r>
          </w:p>
        </w:tc>
        <w:tc>
          <w:tcPr>
            <w:tcW w:w="20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tcPr>
          <w:p>
            <w:pPr>
              <w:ind w:left="160"/>
              <w:spacing w:after="0"/>
              <w:rPr>
                <w:sz w:val="20"/>
                <w:szCs w:val="20"/>
                <w:color w:val="auto"/>
              </w:rPr>
            </w:pPr>
            <w:r>
              <w:rPr>
                <w:rFonts w:ascii="Arial" w:cs="Arial" w:eastAsia="Arial" w:hAnsi="Arial"/>
                <w:sz w:val="18"/>
                <w:szCs w:val="18"/>
                <w:color w:val="auto"/>
              </w:rPr>
              <w:t>Net income allocated to common unitholders — Basic</w:t>
            </w:r>
          </w:p>
        </w:tc>
        <w:tc>
          <w:tcPr>
            <w:tcW w:w="2860" w:type="dxa"/>
            <w:vAlign w:val="bottom"/>
            <w:gridSpan w:val="2"/>
          </w:tcPr>
          <w:p>
            <w:pPr>
              <w:jc w:val="right"/>
              <w:ind w:right="659"/>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237</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Basic weighted average common units outstanding</w:t>
            </w:r>
          </w:p>
        </w:tc>
        <w:tc>
          <w:tcPr>
            <w:tcW w:w="20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725</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691</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260" w:type="dxa"/>
            <w:vAlign w:val="bottom"/>
            <w:gridSpan w:val="2"/>
          </w:tcPr>
          <w:p>
            <w:pPr>
              <w:ind w:left="160"/>
              <w:spacing w:after="0"/>
              <w:rPr>
                <w:sz w:val="20"/>
                <w:szCs w:val="20"/>
                <w:color w:val="auto"/>
              </w:rPr>
            </w:pPr>
            <w:r>
              <w:rPr>
                <w:rFonts w:ascii="Arial" w:cs="Arial" w:eastAsia="Arial" w:hAnsi="Arial"/>
                <w:sz w:val="18"/>
                <w:szCs w:val="18"/>
                <w:color w:val="auto"/>
              </w:rPr>
              <w:t>Basic net income per common unit</w:t>
            </w:r>
          </w:p>
        </w:tc>
        <w:tc>
          <w:tcPr>
            <w:tcW w:w="2860" w:type="dxa"/>
            <w:vAlign w:val="bottom"/>
            <w:gridSpan w:val="2"/>
          </w:tcPr>
          <w:p>
            <w:pPr>
              <w:jc w:val="right"/>
              <w:ind w:right="659"/>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0.33</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0.59</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800" w:type="dxa"/>
            <w:vAlign w:val="bottom"/>
            <w:tcBorders>
              <w:top w:val="single" w:sz="8" w:color="CCEEFF"/>
            </w:tcBorders>
            <w:shd w:val="clear" w:color="auto" w:fill="CCEEFF"/>
          </w:tcPr>
          <w:p>
            <w:pPr>
              <w:spacing w:after="0"/>
              <w:rPr>
                <w:sz w:val="17"/>
                <w:szCs w:val="17"/>
                <w:color w:val="auto"/>
              </w:rPr>
            </w:pPr>
          </w:p>
        </w:tc>
        <w:tc>
          <w:tcPr>
            <w:tcW w:w="3460" w:type="dxa"/>
            <w:vAlign w:val="bottom"/>
            <w:tcBorders>
              <w:top w:val="single" w:sz="8" w:color="CCEEFF"/>
            </w:tcBorders>
            <w:shd w:val="clear" w:color="auto" w:fill="CCEEFF"/>
          </w:tcPr>
          <w:p>
            <w:pPr>
              <w:spacing w:after="0"/>
              <w:rPr>
                <w:sz w:val="17"/>
                <w:szCs w:val="17"/>
                <w:color w:val="auto"/>
              </w:rPr>
            </w:pPr>
          </w:p>
        </w:tc>
        <w:tc>
          <w:tcPr>
            <w:tcW w:w="20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tcPr>
          <w:p>
            <w:pPr>
              <w:ind w:left="160"/>
              <w:spacing w:after="0"/>
              <w:rPr>
                <w:sz w:val="20"/>
                <w:szCs w:val="20"/>
                <w:color w:val="auto"/>
              </w:rPr>
            </w:pPr>
            <w:r>
              <w:rPr>
                <w:rFonts w:ascii="Arial" w:cs="Arial" w:eastAsia="Arial" w:hAnsi="Arial"/>
                <w:sz w:val="18"/>
                <w:szCs w:val="18"/>
                <w:color w:val="auto"/>
              </w:rPr>
              <w:t>Net income allocated to common unitholders — Diluted</w:t>
            </w:r>
          </w:p>
        </w:tc>
        <w:tc>
          <w:tcPr>
            <w:tcW w:w="2860" w:type="dxa"/>
            <w:vAlign w:val="bottom"/>
            <w:gridSpan w:val="2"/>
          </w:tcPr>
          <w:p>
            <w:pPr>
              <w:jc w:val="right"/>
              <w:ind w:right="659"/>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237</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Diluted weighted average common units outstanding</w:t>
            </w:r>
          </w:p>
        </w:tc>
        <w:tc>
          <w:tcPr>
            <w:tcW w:w="20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727</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tcPr>
          <w:p>
            <w:pPr>
              <w:ind w:left="160"/>
              <w:spacing w:after="0"/>
              <w:rPr>
                <w:sz w:val="20"/>
                <w:szCs w:val="20"/>
                <w:color w:val="auto"/>
              </w:rPr>
            </w:pPr>
            <w:r>
              <w:rPr>
                <w:rFonts w:ascii="Arial" w:cs="Arial" w:eastAsia="Arial" w:hAnsi="Arial"/>
                <w:sz w:val="18"/>
                <w:szCs w:val="18"/>
                <w:color w:val="auto"/>
              </w:rPr>
              <w:t>Diluted net income per common unit</w:t>
            </w:r>
          </w:p>
        </w:tc>
        <w:tc>
          <w:tcPr>
            <w:tcW w:w="2860" w:type="dxa"/>
            <w:vAlign w:val="bottom"/>
            <w:gridSpan w:val="2"/>
          </w:tcPr>
          <w:p>
            <w:pPr>
              <w:jc w:val="right"/>
              <w:ind w:right="659"/>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0.33</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0.58</w:t>
            </w:r>
          </w:p>
        </w:tc>
        <w:tc>
          <w:tcPr>
            <w:tcW w:w="0" w:type="dxa"/>
            <w:vAlign w:val="bottom"/>
          </w:tcPr>
          <w:p>
            <w:pPr>
              <w:spacing w:after="0"/>
              <w:rPr>
                <w:sz w:val="1"/>
                <w:szCs w:val="1"/>
                <w:color w:val="auto"/>
              </w:rPr>
            </w:pPr>
          </w:p>
        </w:tc>
      </w:tr>
      <w:tr>
        <w:trPr>
          <w:trHeight w:val="20"/>
        </w:trPr>
        <w:tc>
          <w:tcPr>
            <w:tcW w:w="62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NON-GAAP ADJUSTED RESULTS</w:t>
            </w:r>
          </w:p>
        </w:tc>
        <w:tc>
          <w:tcPr>
            <w:tcW w:w="20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280" w:type="dxa"/>
            <w:vAlign w:val="bottom"/>
            <w:gridSpan w:val="3"/>
            <w:vMerge w:val="continue"/>
          </w:tcPr>
          <w:p>
            <w:pPr>
              <w:spacing w:after="0"/>
              <w:rPr>
                <w:sz w:val="24"/>
                <w:szCs w:val="24"/>
                <w:color w:val="auto"/>
              </w:rPr>
            </w:pPr>
          </w:p>
        </w:tc>
        <w:tc>
          <w:tcPr>
            <w:tcW w:w="20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8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(in millions, except per unit data)</w:t>
            </w:r>
          </w:p>
        </w:tc>
        <w:tc>
          <w:tcPr>
            <w:tcW w:w="34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40" w:type="dxa"/>
            <w:vAlign w:val="bottom"/>
            <w:gridSpan w:val="3"/>
          </w:tcPr>
          <w:p>
            <w:pPr>
              <w:jc w:val="right"/>
              <w:spacing w:after="0"/>
              <w:rPr>
                <w:sz w:val="20"/>
                <w:szCs w:val="20"/>
                <w:color w:val="auto"/>
              </w:rPr>
            </w:pPr>
            <w:r>
              <w:rPr>
                <w:rFonts w:ascii="Arial" w:cs="Arial" w:eastAsia="Arial" w:hAnsi="Arial"/>
                <w:sz w:val="14"/>
                <w:szCs w:val="14"/>
                <w:b w:val="1"/>
                <w:bCs w:val="1"/>
                <w:color w:val="auto"/>
                <w:w w:val="93"/>
              </w:rPr>
              <w:t>Three Months Ended</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4"/>
                <w:szCs w:val="14"/>
                <w:b w:val="1"/>
                <w:bCs w:val="1"/>
                <w:color w:val="auto"/>
              </w:rPr>
              <w:t>March 31,</w:t>
            </w: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00" w:type="dxa"/>
            <w:vAlign w:val="bottom"/>
            <w:tcBorders>
              <w:bottom w:val="single" w:sz="8" w:color="CCEEFF"/>
            </w:tcBorders>
          </w:tcPr>
          <w:p>
            <w:pPr>
              <w:spacing w:after="0"/>
              <w:rPr>
                <w:sz w:val="12"/>
                <w:szCs w:val="12"/>
                <w:color w:val="auto"/>
              </w:rPr>
            </w:pPr>
          </w:p>
        </w:tc>
        <w:tc>
          <w:tcPr>
            <w:tcW w:w="3460" w:type="dxa"/>
            <w:vAlign w:val="bottom"/>
            <w:tcBorders>
              <w:bottom w:val="single" w:sz="8" w:color="CCEEFF"/>
            </w:tcBorders>
          </w:tcPr>
          <w:p>
            <w:pPr>
              <w:spacing w:after="0"/>
              <w:rPr>
                <w:sz w:val="12"/>
                <w:szCs w:val="12"/>
                <w:color w:val="auto"/>
              </w:rPr>
            </w:pPr>
          </w:p>
        </w:tc>
        <w:tc>
          <w:tcPr>
            <w:tcW w:w="202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Adjusted net income</w:t>
            </w:r>
          </w:p>
        </w:tc>
        <w:tc>
          <w:tcPr>
            <w:tcW w:w="20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659"/>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2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80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adjusted net income per common unit</w:t>
            </w:r>
          </w:p>
        </w:tc>
        <w:tc>
          <w:tcPr>
            <w:tcW w:w="2860" w:type="dxa"/>
            <w:vAlign w:val="bottom"/>
            <w:gridSpan w:val="2"/>
            <w:shd w:val="clear" w:color="auto" w:fill="CCEEFF"/>
          </w:tcPr>
          <w:p>
            <w:pPr>
              <w:jc w:val="right"/>
              <w:ind w:right="659"/>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0.36</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346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800" w:type="dxa"/>
            <w:vAlign w:val="bottom"/>
            <w:shd w:val="clear" w:color="auto" w:fill="CCEEFF"/>
          </w:tcPr>
          <w:p>
            <w:pPr>
              <w:spacing w:after="0"/>
              <w:rPr>
                <w:sz w:val="9"/>
                <w:szCs w:val="9"/>
                <w:color w:val="auto"/>
              </w:rPr>
            </w:pPr>
          </w:p>
        </w:tc>
        <w:tc>
          <w:tcPr>
            <w:tcW w:w="3460" w:type="dxa"/>
            <w:vAlign w:val="bottom"/>
            <w:shd w:val="clear" w:color="auto" w:fill="CCEEFF"/>
          </w:tcPr>
          <w:p>
            <w:pPr>
              <w:spacing w:after="0"/>
              <w:rPr>
                <w:sz w:val="9"/>
                <w:szCs w:val="9"/>
                <w:color w:val="auto"/>
              </w:rPr>
            </w:pPr>
          </w:p>
        </w:tc>
        <w:tc>
          <w:tcPr>
            <w:tcW w:w="202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5" w:right="239" w:bottom="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2120" w:type="dxa"/>
            <w:vAlign w:val="bottom"/>
            <w:shd w:val="clear" w:color="auto" w:fill="CCEEFF"/>
          </w:tcPr>
          <w:p>
            <w:pPr>
              <w:spacing w:after="0"/>
              <w:rPr>
                <w:sz w:val="18"/>
                <w:szCs w:val="18"/>
                <w:color w:val="auto"/>
              </w:rPr>
            </w:pPr>
          </w:p>
        </w:tc>
        <w:tc>
          <w:tcPr>
            <w:tcW w:w="25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593</w:t>
            </w: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bottom w:val="single" w:sz="8" w:color="CCEEFF"/>
            </w:tcBorders>
            <w:vMerge w:val="restart"/>
          </w:tcPr>
          <w:p>
            <w:pPr>
              <w:ind w:left="820"/>
              <w:spacing w:after="0"/>
              <w:rPr>
                <w:sz w:val="20"/>
                <w:szCs w:val="20"/>
                <w:color w:val="auto"/>
              </w:rPr>
            </w:pPr>
            <w:r>
              <w:rPr>
                <w:rFonts w:ascii="Arial" w:cs="Arial" w:eastAsia="Arial" w:hAnsi="Arial"/>
                <w:sz w:val="18"/>
                <w:szCs w:val="18"/>
                <w:color w:val="auto"/>
              </w:rPr>
              <w:t>- more -</w:t>
            </w:r>
          </w:p>
        </w:tc>
        <w:tc>
          <w:tcPr>
            <w:tcW w:w="15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600" w:type="dxa"/>
            <w:vAlign w:val="bottom"/>
          </w:tcPr>
          <w:p>
            <w:pPr>
              <w:spacing w:after="0"/>
              <w:rPr>
                <w:sz w:val="24"/>
                <w:szCs w:val="24"/>
                <w:color w:val="auto"/>
              </w:rPr>
            </w:pPr>
          </w:p>
        </w:tc>
        <w:tc>
          <w:tcPr>
            <w:tcW w:w="2120" w:type="dxa"/>
            <w:vAlign w:val="bottom"/>
            <w:vMerge w:val="continue"/>
          </w:tcPr>
          <w:p>
            <w:pPr>
              <w:spacing w:after="0"/>
              <w:rPr>
                <w:sz w:val="24"/>
                <w:szCs w:val="24"/>
                <w:color w:val="auto"/>
              </w:rPr>
            </w:pPr>
          </w:p>
        </w:tc>
        <w:tc>
          <w:tcPr>
            <w:tcW w:w="1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60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4600" w:type="dxa"/>
            <w:vAlign w:val="bottom"/>
          </w:tcPr>
          <w:p>
            <w:pPr>
              <w:ind w:left="2300"/>
              <w:spacing w:after="0"/>
              <w:rPr>
                <w:sz w:val="20"/>
                <w:szCs w:val="20"/>
                <w:color w:val="auto"/>
              </w:rPr>
            </w:pPr>
            <w:r>
              <w:rPr>
                <w:rFonts w:ascii="Arial" w:cs="Arial" w:eastAsia="Arial" w:hAnsi="Arial"/>
                <w:sz w:val="18"/>
                <w:szCs w:val="18"/>
                <w:b w:val="1"/>
                <w:bCs w:val="1"/>
                <w:color w:val="auto"/>
                <w:w w:val="99"/>
              </w:rPr>
              <w:t>333 Clay Street, Suite 1600</w:t>
            </w:r>
          </w:p>
        </w:tc>
        <w:tc>
          <w:tcPr>
            <w:tcW w:w="2120" w:type="dxa"/>
            <w:vAlign w:val="bottom"/>
          </w:tcPr>
          <w:p>
            <w:pPr>
              <w:ind w:left="220"/>
              <w:spacing w:after="0"/>
              <w:rPr>
                <w:sz w:val="20"/>
                <w:szCs w:val="20"/>
                <w:color w:val="auto"/>
              </w:rPr>
            </w:pPr>
            <w:r>
              <w:rPr>
                <w:rFonts w:ascii="Arial" w:cs="Arial" w:eastAsia="Arial" w:hAnsi="Arial"/>
                <w:sz w:val="18"/>
                <w:szCs w:val="18"/>
                <w:b w:val="1"/>
                <w:bCs w:val="1"/>
                <w:color w:val="auto"/>
                <w:w w:val="99"/>
              </w:rPr>
              <w:t>Houston, Texas 77002</w:t>
            </w:r>
          </w:p>
        </w:tc>
        <w:tc>
          <w:tcPr>
            <w:tcW w:w="25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99"/>
              </w:rPr>
              <w:t>713-646-4100 / 866-809-1291</w:t>
            </w: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0"/>
        </w:trPr>
        <w:tc>
          <w:tcPr>
            <w:tcW w:w="4600" w:type="dxa"/>
            <w:vAlign w:val="bottom"/>
            <w:tcBorders>
              <w:bottom w:val="single" w:sz="8" w:color="808080"/>
            </w:tcBorders>
          </w:tcPr>
          <w:p>
            <w:pPr>
              <w:spacing w:after="0"/>
              <w:rPr>
                <w:sz w:val="24"/>
                <w:szCs w:val="24"/>
                <w:color w:val="auto"/>
              </w:rPr>
            </w:pPr>
          </w:p>
        </w:tc>
        <w:tc>
          <w:tcPr>
            <w:tcW w:w="2120" w:type="dxa"/>
            <w:vAlign w:val="bottom"/>
            <w:tcBorders>
              <w:bottom w:val="single" w:sz="8" w:color="808080"/>
            </w:tcBorders>
          </w:tcPr>
          <w:p>
            <w:pPr>
              <w:spacing w:after="0"/>
              <w:rPr>
                <w:sz w:val="24"/>
                <w:szCs w:val="24"/>
                <w:color w:val="auto"/>
              </w:rPr>
            </w:pPr>
          </w:p>
        </w:tc>
        <w:tc>
          <w:tcPr>
            <w:tcW w:w="158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CONSOLIDATED BALANCE SHEET DATA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March 31,</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00" w:type="dxa"/>
            <w:vAlign w:val="bottom"/>
            <w:tcBorders>
              <w:bottom w:val="single" w:sz="8" w:color="CCEEFF"/>
            </w:tcBorders>
          </w:tcPr>
          <w:p>
            <w:pPr>
              <w:spacing w:after="0"/>
              <w:rPr>
                <w:sz w:val="14"/>
                <w:szCs w:val="14"/>
                <w:color w:val="auto"/>
              </w:rPr>
            </w:pPr>
          </w:p>
        </w:tc>
        <w:tc>
          <w:tcPr>
            <w:tcW w:w="3720" w:type="dxa"/>
            <w:vAlign w:val="bottom"/>
            <w:tcBorders>
              <w:bottom w:val="single" w:sz="8" w:color="CCEEFF"/>
            </w:tcBorders>
          </w:tcPr>
          <w:p>
            <w:pPr>
              <w:spacing w:after="0"/>
              <w:rPr>
                <w:sz w:val="14"/>
                <w:szCs w:val="14"/>
                <w:color w:val="auto"/>
              </w:rPr>
            </w:pPr>
          </w:p>
        </w:tc>
        <w:tc>
          <w:tcPr>
            <w:tcW w:w="17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980" w:type="dxa"/>
            <w:vAlign w:val="bottom"/>
            <w:gridSpan w:val="3"/>
          </w:tcPr>
          <w:p>
            <w:pPr>
              <w:ind w:left="1760"/>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220"/>
              <w:spacing w:after="0"/>
              <w:rPr>
                <w:sz w:val="20"/>
                <w:szCs w:val="20"/>
                <w:color w:val="auto"/>
              </w:rPr>
            </w:pPr>
            <w:r>
              <w:rPr>
                <w:rFonts w:ascii="Arial" w:cs="Arial" w:eastAsia="Arial" w:hAnsi="Arial"/>
                <w:sz w:val="18"/>
                <w:szCs w:val="18"/>
                <w:color w:val="auto"/>
              </w:rPr>
              <w:t>3,962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14,114</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14,089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1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3"/>
          </w:tcPr>
          <w:p>
            <w:pPr>
              <w:jc w:val="right"/>
              <w:ind w:right="220"/>
              <w:spacing w:after="0"/>
              <w:rPr>
                <w:sz w:val="20"/>
                <w:szCs w:val="20"/>
                <w:color w:val="auto"/>
              </w:rPr>
            </w:pPr>
            <w:r>
              <w:rPr>
                <w:rFonts w:ascii="Arial" w:cs="Arial" w:eastAsia="Arial" w:hAnsi="Arial"/>
                <w:sz w:val="18"/>
                <w:szCs w:val="18"/>
                <w:color w:val="auto"/>
              </w:rPr>
              <w:t>2,543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2,566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in unconsolidated entities</w:t>
            </w:r>
          </w:p>
        </w:tc>
        <w:tc>
          <w:tcPr>
            <w:tcW w:w="1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2,882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2,756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Linefill and base gas</w:t>
            </w:r>
          </w:p>
        </w:tc>
        <w:tc>
          <w:tcPr>
            <w:tcW w:w="1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3"/>
          </w:tcPr>
          <w:p>
            <w:pPr>
              <w:jc w:val="right"/>
              <w:ind w:right="220"/>
              <w:spacing w:after="0"/>
              <w:rPr>
                <w:sz w:val="20"/>
                <w:szCs w:val="20"/>
                <w:color w:val="auto"/>
              </w:rPr>
            </w:pPr>
            <w:r>
              <w:rPr>
                <w:rFonts w:ascii="Arial" w:cs="Arial" w:eastAsia="Arial" w:hAnsi="Arial"/>
                <w:sz w:val="18"/>
                <w:szCs w:val="18"/>
                <w:color w:val="auto"/>
              </w:rPr>
              <w:t>870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872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inventory</w:t>
            </w:r>
          </w:p>
        </w:tc>
        <w:tc>
          <w:tcPr>
            <w:tcW w:w="1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159</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Other long-term assets, net</w:t>
            </w:r>
          </w:p>
        </w:tc>
        <w:tc>
          <w:tcPr>
            <w:tcW w:w="1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3"/>
          </w:tcPr>
          <w:p>
            <w:pPr>
              <w:jc w:val="right"/>
              <w:ind w:right="220"/>
              <w:spacing w:after="0"/>
              <w:rPr>
                <w:sz w:val="20"/>
                <w:szCs w:val="20"/>
                <w:color w:val="auto"/>
              </w:rPr>
            </w:pPr>
            <w:r>
              <w:rPr>
                <w:rFonts w:ascii="Arial" w:cs="Arial" w:eastAsia="Arial" w:hAnsi="Arial"/>
                <w:sz w:val="18"/>
                <w:szCs w:val="18"/>
                <w:color w:val="auto"/>
              </w:rPr>
              <w:t>893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904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assets</w:t>
            </w:r>
          </w:p>
        </w:tc>
        <w:tc>
          <w:tcPr>
            <w:tcW w:w="17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25,423</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25,351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80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PARTNERS’ CAPITAL</w:t>
            </w:r>
          </w:p>
        </w:tc>
        <w:tc>
          <w:tcPr>
            <w:tcW w:w="1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980" w:type="dxa"/>
            <w:vAlign w:val="bottom"/>
            <w:gridSpan w:val="3"/>
          </w:tcPr>
          <w:p>
            <w:pPr>
              <w:ind w:left="1760"/>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220"/>
              <w:spacing w:after="0"/>
              <w:rPr>
                <w:sz w:val="20"/>
                <w:szCs w:val="20"/>
                <w:color w:val="auto"/>
              </w:rPr>
            </w:pPr>
            <w:r>
              <w:rPr>
                <w:rFonts w:ascii="Arial" w:cs="Arial" w:eastAsia="Arial" w:hAnsi="Arial"/>
                <w:sz w:val="18"/>
                <w:szCs w:val="18"/>
                <w:color w:val="auto"/>
              </w:rPr>
              <w:t>4,601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4,531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notes, net of unamortized discounts and debt issuance costs</w:t>
            </w:r>
          </w:p>
        </w:tc>
        <w:tc>
          <w:tcPr>
            <w:tcW w:w="1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8,935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8,933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Other long-term debt</w:t>
            </w:r>
          </w:p>
        </w:tc>
        <w:tc>
          <w:tcPr>
            <w:tcW w:w="1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3"/>
          </w:tcPr>
          <w:p>
            <w:pPr>
              <w:jc w:val="right"/>
              <w:ind w:right="220"/>
              <w:spacing w:after="0"/>
              <w:rPr>
                <w:sz w:val="20"/>
                <w:szCs w:val="20"/>
                <w:color w:val="auto"/>
              </w:rPr>
            </w:pPr>
            <w:r>
              <w:rPr>
                <w:rFonts w:ascii="Arial" w:cs="Arial" w:eastAsia="Arial" w:hAnsi="Arial"/>
                <w:sz w:val="18"/>
                <w:szCs w:val="18"/>
                <w:color w:val="auto"/>
              </w:rPr>
              <w:t>115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liabilities and deferred credits</w:t>
            </w:r>
          </w:p>
        </w:tc>
        <w:tc>
          <w:tcPr>
            <w:tcW w:w="1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736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679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gridSpan w:val="2"/>
          </w:tcPr>
          <w:p>
            <w:pPr>
              <w:ind w:left="160"/>
              <w:spacing w:after="0"/>
              <w:rPr>
                <w:sz w:val="20"/>
                <w:szCs w:val="20"/>
                <w:color w:val="auto"/>
              </w:rPr>
            </w:pPr>
            <w:r>
              <w:rPr>
                <w:rFonts w:ascii="Arial" w:cs="Arial" w:eastAsia="Arial" w:hAnsi="Arial"/>
                <w:sz w:val="18"/>
                <w:szCs w:val="18"/>
                <w:color w:val="auto"/>
              </w:rPr>
              <w:t>Total liabilities</w:t>
            </w:r>
          </w:p>
        </w:tc>
        <w:tc>
          <w:tcPr>
            <w:tcW w:w="1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14,387</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14,393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Partners’ capital</w:t>
            </w:r>
          </w:p>
        </w:tc>
        <w:tc>
          <w:tcPr>
            <w:tcW w:w="1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3"/>
          </w:tcPr>
          <w:p>
            <w:pPr>
              <w:jc w:val="right"/>
              <w:ind w:right="220"/>
              <w:spacing w:after="0"/>
              <w:rPr>
                <w:sz w:val="20"/>
                <w:szCs w:val="20"/>
                <w:color w:val="auto"/>
              </w:rPr>
            </w:pPr>
            <w:r>
              <w:rPr>
                <w:rFonts w:ascii="Arial" w:cs="Arial" w:eastAsia="Arial" w:hAnsi="Arial"/>
                <w:sz w:val="18"/>
                <w:szCs w:val="18"/>
                <w:color w:val="auto"/>
              </w:rPr>
              <w:t>11,036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10,958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liabilities and partners’ capital</w:t>
            </w:r>
          </w:p>
        </w:tc>
        <w:tc>
          <w:tcPr>
            <w:tcW w:w="17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25,423</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25,351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DEBT CAPITALIZATION RATIOS</w:t>
            </w:r>
          </w:p>
        </w:tc>
        <w:tc>
          <w:tcPr>
            <w:tcW w:w="1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540" w:type="dxa"/>
            <w:vAlign w:val="bottom"/>
            <w:gridSpan w:val="3"/>
            <w:vMerge w:val="continue"/>
          </w:tcPr>
          <w:p>
            <w:pPr>
              <w:spacing w:after="0"/>
              <w:rPr>
                <w:sz w:val="24"/>
                <w:szCs w:val="24"/>
                <w:color w:val="auto"/>
              </w:rPr>
            </w:pP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8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(in millions)</w:t>
            </w:r>
          </w:p>
        </w:tc>
        <w:tc>
          <w:tcPr>
            <w:tcW w:w="37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rPr>
              <w:t>March 31,</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00" w:type="dxa"/>
            <w:vAlign w:val="bottom"/>
            <w:tcBorders>
              <w:bottom w:val="single" w:sz="8" w:color="CCEEFF"/>
            </w:tcBorders>
          </w:tcPr>
          <w:p>
            <w:pPr>
              <w:spacing w:after="0"/>
              <w:rPr>
                <w:sz w:val="14"/>
                <w:szCs w:val="14"/>
                <w:color w:val="auto"/>
              </w:rPr>
            </w:pPr>
          </w:p>
        </w:tc>
        <w:tc>
          <w:tcPr>
            <w:tcW w:w="3720" w:type="dxa"/>
            <w:vAlign w:val="bottom"/>
            <w:tcBorders>
              <w:bottom w:val="single" w:sz="8" w:color="CCEEFF"/>
            </w:tcBorders>
          </w:tcPr>
          <w:p>
            <w:pPr>
              <w:spacing w:after="0"/>
              <w:rPr>
                <w:sz w:val="14"/>
                <w:szCs w:val="14"/>
                <w:color w:val="auto"/>
              </w:rPr>
            </w:pPr>
          </w:p>
        </w:tc>
        <w:tc>
          <w:tcPr>
            <w:tcW w:w="174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line="210" w:lineRule="exact"/>
              <w:rPr>
                <w:sz w:val="20"/>
                <w:szCs w:val="20"/>
                <w:color w:val="auto"/>
              </w:rPr>
            </w:pPr>
            <w:r>
              <w:rPr>
                <w:rFonts w:ascii="Arial" w:cs="Arial" w:eastAsia="Arial" w:hAnsi="Arial"/>
                <w:sz w:val="18"/>
                <w:szCs w:val="18"/>
                <w:color w:val="auto"/>
              </w:rPr>
              <w:t xml:space="preserve">Short-term debt </w:t>
            </w:r>
            <w:r>
              <w:rPr>
                <w:rFonts w:ascii="Arial" w:cs="Arial" w:eastAsia="Arial" w:hAnsi="Arial"/>
                <w:sz w:val="23"/>
                <w:szCs w:val="23"/>
                <w:color w:val="auto"/>
                <w:vertAlign w:val="superscript"/>
              </w:rPr>
              <w:t>(1)</w:t>
            </w:r>
          </w:p>
        </w:tc>
        <w:tc>
          <w:tcPr>
            <w:tcW w:w="17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1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9,050</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9,183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debt</w:t>
            </w:r>
          </w:p>
        </w:tc>
        <w:tc>
          <w:tcPr>
            <w:tcW w:w="17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9,824</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9,920</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40" w:type="dxa"/>
            <w:vAlign w:val="bottom"/>
            <w:tcBorders>
              <w:bottom w:val="single" w:sz="8" w:color="auto"/>
            </w:tcBorders>
            <w:gridSpan w:val="2"/>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gridSpan w:val="2"/>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80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98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9,050</w:t>
            </w:r>
          </w:p>
        </w:tc>
        <w:tc>
          <w:tcPr>
            <w:tcW w:w="2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Partners’ capital</w:t>
            </w:r>
          </w:p>
        </w:tc>
        <w:tc>
          <w:tcPr>
            <w:tcW w:w="1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11,036</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10,958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book capitalization</w:t>
            </w:r>
          </w:p>
        </w:tc>
        <w:tc>
          <w:tcPr>
            <w:tcW w:w="17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20,086</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20,141</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gridSpan w:val="2"/>
            <w:vMerge w:val="restart"/>
          </w:tcPr>
          <w:p>
            <w:pPr>
              <w:ind w:left="340"/>
              <w:spacing w:after="0"/>
              <w:rPr>
                <w:sz w:val="20"/>
                <w:szCs w:val="20"/>
                <w:color w:val="auto"/>
              </w:rPr>
            </w:pPr>
            <w:r>
              <w:rPr>
                <w:rFonts w:ascii="Arial" w:cs="Arial" w:eastAsia="Arial" w:hAnsi="Arial"/>
                <w:sz w:val="18"/>
                <w:szCs w:val="18"/>
                <w:color w:val="auto"/>
              </w:rPr>
              <w:t>Total book capitalization, including short-term debt</w:t>
            </w:r>
          </w:p>
        </w:tc>
        <w:tc>
          <w:tcPr>
            <w:tcW w:w="1740" w:type="dxa"/>
            <w:vAlign w:val="bottom"/>
            <w:vMerge w:val="restart"/>
          </w:tcPr>
          <w:p>
            <w:pPr>
              <w:spacing w:after="0" w:line="20" w:lineRule="exact"/>
              <w:rPr>
                <w:sz w:val="1"/>
                <w:szCs w:val="1"/>
                <w:color w:val="auto"/>
              </w:rPr>
            </w:pPr>
          </w:p>
        </w:tc>
        <w:tc>
          <w:tcPr>
            <w:tcW w:w="240" w:type="dxa"/>
            <w:vAlign w:val="bottom"/>
            <w:tcBorders>
              <w:bottom w:val="single" w:sz="8" w:color="auto"/>
            </w:tcBorders>
            <w:gridSpan w:val="2"/>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gridSpan w:val="2"/>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520" w:type="dxa"/>
            <w:vAlign w:val="bottom"/>
            <w:tcBorders>
              <w:bottom w:val="single" w:sz="8" w:color="CCEEFF"/>
            </w:tcBorders>
            <w:gridSpan w:val="2"/>
            <w:vMerge w:val="continue"/>
          </w:tcPr>
          <w:p>
            <w:pPr>
              <w:spacing w:after="0"/>
              <w:rPr>
                <w:sz w:val="20"/>
                <w:szCs w:val="20"/>
                <w:color w:val="auto"/>
              </w:rPr>
            </w:pPr>
          </w:p>
        </w:tc>
        <w:tc>
          <w:tcPr>
            <w:tcW w:w="1740" w:type="dxa"/>
            <w:vAlign w:val="bottom"/>
            <w:tcBorders>
              <w:bottom w:val="single" w:sz="8" w:color="CCEEFF"/>
            </w:tcBorders>
            <w:vMerge w:val="continue"/>
          </w:tcPr>
          <w:p>
            <w:pPr>
              <w:spacing w:after="0"/>
              <w:rPr>
                <w:sz w:val="20"/>
                <w:szCs w:val="20"/>
                <w:color w:val="auto"/>
              </w:rPr>
            </w:pPr>
          </w:p>
        </w:tc>
        <w:tc>
          <w:tcPr>
            <w:tcW w:w="24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20,860</w:t>
            </w:r>
          </w:p>
        </w:tc>
        <w:tc>
          <w:tcPr>
            <w:tcW w:w="6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gridSpan w:val="2"/>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20,878</w:t>
            </w:r>
          </w:p>
        </w:tc>
        <w:tc>
          <w:tcPr>
            <w:tcW w:w="6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372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Long-term debt-to-total book capitalization</w:t>
            </w:r>
          </w:p>
        </w:tc>
        <w:tc>
          <w:tcPr>
            <w:tcW w:w="1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3"/>
          </w:tcPr>
          <w:p>
            <w:pPr>
              <w:jc w:val="right"/>
              <w:ind w:right="120"/>
              <w:spacing w:after="0"/>
              <w:rPr>
                <w:sz w:val="20"/>
                <w:szCs w:val="20"/>
                <w:color w:val="auto"/>
              </w:rPr>
            </w:pPr>
            <w:r>
              <w:rPr>
                <w:rFonts w:ascii="Arial" w:cs="Arial" w:eastAsia="Arial" w:hAnsi="Arial"/>
                <w:sz w:val="18"/>
                <w:szCs w:val="18"/>
                <w:color w:val="auto"/>
              </w:rPr>
              <w:t>45%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jc w:val="right"/>
              <w:ind w:right="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debt-to-total book capitalization, including short-term debt</w:t>
            </w:r>
          </w:p>
        </w:tc>
        <w:tc>
          <w:tcPr>
            <w:tcW w:w="1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47%</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205740</wp:posOffset>
            </wp:positionV>
            <wp:extent cx="177546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775460"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180" w:hanging="332"/>
        <w:spacing w:after="0" w:line="234" w:lineRule="auto"/>
        <w:tabs>
          <w:tab w:leader="none" w:pos="328" w:val="left"/>
        </w:tabs>
        <w:numPr>
          <w:ilvl w:val="0"/>
          <w:numId w:val="6"/>
        </w:numPr>
        <w:rPr>
          <w:rFonts w:ascii="Arial" w:cs="Arial" w:eastAsia="Arial" w:hAnsi="Arial"/>
          <w:sz w:val="23"/>
          <w:szCs w:val="23"/>
          <w:color w:val="auto"/>
          <w:vertAlign w:val="superscript"/>
        </w:rPr>
      </w:pPr>
      <w:r>
        <w:rPr>
          <w:rFonts w:ascii="Arial" w:cs="Arial" w:eastAsia="Arial" w:hAnsi="Arial"/>
          <w:sz w:val="18"/>
          <w:szCs w:val="18"/>
          <w:color w:val="auto"/>
        </w:rPr>
        <w:t>As of March 31, 2018 and December 31, 2017, short-term debt includes borrowings of approximately $556 million and $523 million, respectively, for short-term hedged inventory purchases and borrowings of approximately $217 million and $212 million, respectively, for cash margin deposits with our clearing brokers, which are associated with financial derivatives used for hedging purposes.</w:t>
      </w:r>
    </w:p>
    <w:p>
      <w:pPr>
        <w:spacing w:after="0" w:line="20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 more -</w:t>
      </w:r>
    </w:p>
    <w:p>
      <w:pPr>
        <w:spacing w:after="0" w:line="32"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DATA</w:t>
      </w:r>
      <w:r>
        <w:rPr>
          <w:rFonts w:ascii="Arial" w:cs="Arial" w:eastAsia="Arial" w:hAnsi="Arial"/>
          <w:sz w:val="18"/>
          <w:szCs w:val="18"/>
          <w:b w:val="1"/>
          <w:bCs w:val="1"/>
          <w:color w:val="auto"/>
        </w:rPr>
        <w:t xml:space="preserve"> </w:t>
      </w:r>
      <w:r>
        <w:rPr>
          <w:rFonts w:ascii="Arial" w:cs="Arial" w:eastAsia="Arial" w:hAnsi="Arial"/>
          <w:sz w:val="23"/>
          <w:szCs w:val="23"/>
          <w:b w:val="1"/>
          <w:bCs w:val="1"/>
          <w:color w:val="auto"/>
          <w:vertAlign w:val="superscript"/>
        </w:rPr>
        <w:t>(1)</w:t>
      </w:r>
    </w:p>
    <w:p>
      <w:pPr>
        <w:sectPr>
          <w:pgSz w:w="11900" w:h="16838" w:orient="portrait"/>
          <w:cols w:equalWidth="0" w:num="1">
            <w:col w:w="11460"/>
          </w:cols>
          <w:pgMar w:left="240" w:top="140" w:right="199" w:bottom="0" w:gutter="0" w:footer="0" w:header="0"/>
        </w:sectPr>
      </w:pPr>
    </w:p>
    <w:p>
      <w:pPr>
        <w:spacing w:after="0" w:line="163" w:lineRule="exact"/>
        <w:rPr>
          <w:sz w:val="20"/>
          <w:szCs w:val="20"/>
          <w:color w:val="auto"/>
        </w:rPr>
      </w:pPr>
    </w:p>
    <w:p>
      <w:pPr>
        <w:jc w:val="center"/>
        <w:ind w:left="8200"/>
        <w:spacing w:after="0"/>
        <w:rPr>
          <w:sz w:val="20"/>
          <w:szCs w:val="20"/>
          <w:color w:val="auto"/>
        </w:rPr>
      </w:pPr>
      <w:r>
        <w:rPr>
          <w:rFonts w:ascii="Arial" w:cs="Arial" w:eastAsia="Arial" w:hAnsi="Arial"/>
          <w:sz w:val="13"/>
          <w:szCs w:val="13"/>
          <w:b w:val="1"/>
          <w:bCs w:val="1"/>
          <w:color w:val="auto"/>
        </w:rPr>
        <w:t>Three Months Ended</w:t>
      </w:r>
    </w:p>
    <w:p>
      <w:pPr>
        <w:spacing w:after="0" w:line="15"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5270500</wp:posOffset>
            </wp:positionH>
            <wp:positionV relativeFrom="paragraph">
              <wp:posOffset>-3175</wp:posOffset>
            </wp:positionV>
            <wp:extent cx="1912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912620" cy="8890"/>
                    </a:xfrm>
                    <a:prstGeom prst="rect">
                      <a:avLst/>
                    </a:prstGeom>
                    <a:noFill/>
                  </pic:spPr>
                </pic:pic>
              </a:graphicData>
            </a:graphic>
          </wp:anchor>
        </w:drawing>
      </w:r>
    </w:p>
    <w:p>
      <w:pPr>
        <w:sectPr>
          <w:pgSz w:w="11900" w:h="16838" w:orient="portrait"/>
          <w:cols w:equalWidth="0" w:num="1">
            <w:col w:w="11460"/>
          </w:cols>
          <w:pgMar w:left="240" w:top="140" w:right="199" w:bottom="0" w:gutter="0" w:footer="0" w:header="0"/>
          <w:type w:val="continuous"/>
        </w:sectPr>
      </w:pPr>
    </w:p>
    <w:bookmarkStart w:id="8" w:name="page9"/>
    <w:bookmarkEnd w:id="8"/>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2018</w:t>
            </w: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tcPr>
          <w:p>
            <w:pPr>
              <w:jc w:val="right"/>
              <w:ind w:right="451"/>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Transportation segment (average daily volumes in thousands of barrels per day):</w:t>
            </w:r>
          </w:p>
        </w:tc>
        <w:tc>
          <w:tcPr>
            <w:tcW w:w="9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spacing w:after="0"/>
              <w:rPr>
                <w:sz w:val="20"/>
                <w:szCs w:val="20"/>
                <w:color w:val="auto"/>
              </w:rPr>
            </w:pPr>
            <w:r>
              <w:rPr>
                <w:rFonts w:ascii="Arial" w:cs="Arial" w:eastAsia="Arial" w:hAnsi="Arial"/>
                <w:sz w:val="18"/>
                <w:szCs w:val="18"/>
                <w:color w:val="auto"/>
              </w:rPr>
              <w:t>Tariff activities volumes</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Crude oil pipelines (by region):</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ind w:left="340"/>
              <w:spacing w:after="0" w:line="216" w:lineRule="exact"/>
              <w:rPr>
                <w:sz w:val="20"/>
                <w:szCs w:val="20"/>
                <w:color w:val="auto"/>
              </w:rPr>
            </w:pPr>
            <w:r>
              <w:rPr>
                <w:rFonts w:ascii="Arial" w:cs="Arial" w:eastAsia="Arial" w:hAnsi="Arial"/>
                <w:sz w:val="18"/>
                <w:szCs w:val="18"/>
                <w:color w:val="auto"/>
              </w:rPr>
              <w:t xml:space="preserve">Permian Basin </w:t>
            </w:r>
            <w:r>
              <w:rPr>
                <w:rFonts w:ascii="Arial" w:cs="Arial" w:eastAsia="Arial" w:hAnsi="Arial"/>
                <w:sz w:val="23"/>
                <w:szCs w:val="23"/>
                <w:color w:val="auto"/>
                <w:vertAlign w:val="superscript"/>
              </w:rPr>
              <w:t>(2)</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3,240</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2,466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ind w:left="340"/>
              <w:spacing w:after="0" w:line="216" w:lineRule="exact"/>
              <w:rPr>
                <w:sz w:val="20"/>
                <w:szCs w:val="20"/>
                <w:color w:val="auto"/>
              </w:rPr>
            </w:pPr>
            <w:r>
              <w:rPr>
                <w:rFonts w:ascii="Arial" w:cs="Arial" w:eastAsia="Arial" w:hAnsi="Arial"/>
                <w:sz w:val="18"/>
                <w:szCs w:val="18"/>
                <w:color w:val="auto"/>
              </w:rPr>
              <w:t xml:space="preserve">South Texas / Eagle Ford </w:t>
            </w:r>
            <w:r>
              <w:rPr>
                <w:rFonts w:ascii="Arial" w:cs="Arial" w:eastAsia="Arial" w:hAnsi="Arial"/>
                <w:sz w:val="23"/>
                <w:szCs w:val="23"/>
                <w:color w:val="auto"/>
                <w:vertAlign w:val="superscript"/>
              </w:rPr>
              <w:t>(2)</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422</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ind w:left="340"/>
              <w:spacing w:after="0" w:line="216" w:lineRule="exact"/>
              <w:rPr>
                <w:sz w:val="20"/>
                <w:szCs w:val="20"/>
                <w:color w:val="auto"/>
              </w:rPr>
            </w:pPr>
            <w:r>
              <w:rPr>
                <w:rFonts w:ascii="Arial" w:cs="Arial" w:eastAsia="Arial" w:hAnsi="Arial"/>
                <w:sz w:val="18"/>
                <w:szCs w:val="18"/>
                <w:color w:val="auto"/>
              </w:rPr>
              <w:t xml:space="preserve">Central </w:t>
            </w:r>
            <w:r>
              <w:rPr>
                <w:rFonts w:ascii="Arial" w:cs="Arial" w:eastAsia="Arial" w:hAnsi="Arial"/>
                <w:sz w:val="23"/>
                <w:szCs w:val="23"/>
                <w:color w:val="auto"/>
                <w:vertAlign w:val="superscript"/>
              </w:rPr>
              <w:t>(2)</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441</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405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Gulf Coast</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204</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ind w:left="340"/>
              <w:spacing w:after="0" w:line="216" w:lineRule="exact"/>
              <w:rPr>
                <w:sz w:val="20"/>
                <w:szCs w:val="20"/>
                <w:color w:val="auto"/>
              </w:rPr>
            </w:pPr>
            <w:r>
              <w:rPr>
                <w:rFonts w:ascii="Arial" w:cs="Arial" w:eastAsia="Arial" w:hAnsi="Arial"/>
                <w:sz w:val="18"/>
                <w:szCs w:val="18"/>
                <w:color w:val="auto"/>
              </w:rPr>
              <w:t xml:space="preserve">Rocky Mountain </w:t>
            </w:r>
            <w:r>
              <w:rPr>
                <w:rFonts w:ascii="Arial" w:cs="Arial" w:eastAsia="Arial" w:hAnsi="Arial"/>
                <w:sz w:val="23"/>
                <w:szCs w:val="23"/>
                <w:color w:val="auto"/>
                <w:vertAlign w:val="superscript"/>
              </w:rPr>
              <w:t>(2)</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257</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385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Western</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174</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ind w:left="340"/>
              <w:spacing w:after="0"/>
              <w:rPr>
                <w:sz w:val="20"/>
                <w:szCs w:val="20"/>
                <w:color w:val="auto"/>
              </w:rPr>
            </w:pPr>
            <w:r>
              <w:rPr>
                <w:rFonts w:ascii="Arial" w:cs="Arial" w:eastAsia="Arial" w:hAnsi="Arial"/>
                <w:sz w:val="18"/>
                <w:szCs w:val="18"/>
                <w:color w:val="auto"/>
              </w:rPr>
              <w:t>Canada</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318</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363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Crude oil pipelines</w:t>
            </w:r>
          </w:p>
        </w:tc>
        <w:tc>
          <w:tcPr>
            <w:tcW w:w="9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5,056</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ind w:left="160"/>
              <w:spacing w:after="0"/>
              <w:rPr>
                <w:sz w:val="20"/>
                <w:szCs w:val="20"/>
                <w:color w:val="auto"/>
              </w:rPr>
            </w:pPr>
            <w:r>
              <w:rPr>
                <w:rFonts w:ascii="Arial" w:cs="Arial" w:eastAsia="Arial" w:hAnsi="Arial"/>
                <w:sz w:val="18"/>
                <w:szCs w:val="18"/>
                <w:color w:val="auto"/>
              </w:rPr>
              <w:t>NGL pipelines</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173</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180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Tariff activities total volumes</w:t>
            </w:r>
          </w:p>
        </w:tc>
        <w:tc>
          <w:tcPr>
            <w:tcW w:w="9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5,229</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ind w:left="160"/>
              <w:spacing w:after="0"/>
              <w:rPr>
                <w:sz w:val="20"/>
                <w:szCs w:val="20"/>
                <w:color w:val="auto"/>
              </w:rPr>
            </w:pPr>
            <w:r>
              <w:rPr>
                <w:rFonts w:ascii="Arial" w:cs="Arial" w:eastAsia="Arial" w:hAnsi="Arial"/>
                <w:sz w:val="18"/>
                <w:szCs w:val="18"/>
                <w:color w:val="auto"/>
              </w:rPr>
              <w:t>Trucking volumes</w:t>
            </w:r>
          </w:p>
        </w:tc>
        <w:tc>
          <w:tcPr>
            <w:tcW w:w="460" w:type="dxa"/>
            <w:vAlign w:val="bottom"/>
          </w:tcPr>
          <w:p>
            <w:pPr>
              <w:jc w:val="right"/>
              <w:spacing w:after="0"/>
              <w:rPr>
                <w:sz w:val="20"/>
                <w:szCs w:val="20"/>
                <w:color w:val="auto"/>
              </w:rPr>
            </w:pPr>
            <w:r>
              <w:rPr>
                <w:rFonts w:ascii="Arial" w:cs="Arial" w:eastAsia="Arial" w:hAnsi="Arial"/>
                <w:sz w:val="18"/>
                <w:szCs w:val="18"/>
                <w:color w:val="auto"/>
              </w:rPr>
              <w:t>99</w:t>
            </w:r>
          </w:p>
        </w:tc>
        <w:tc>
          <w:tcPr>
            <w:tcW w:w="280" w:type="dxa"/>
            <w:vAlign w:val="bottom"/>
          </w:tcPr>
          <w:p>
            <w:pPr>
              <w:spacing w:after="0"/>
              <w:rPr>
                <w:sz w:val="18"/>
                <w:szCs w:val="18"/>
                <w:color w:val="auto"/>
              </w:rPr>
            </w:pPr>
          </w:p>
        </w:tc>
        <w:tc>
          <w:tcPr>
            <w:tcW w:w="1480" w:type="dxa"/>
            <w:vAlign w:val="bottom"/>
            <w:gridSpan w:val="3"/>
          </w:tcPr>
          <w:p>
            <w:pPr>
              <w:jc w:val="right"/>
              <w:ind w:right="10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Transportation segment total volumes</w:t>
            </w:r>
          </w:p>
        </w:tc>
        <w:tc>
          <w:tcPr>
            <w:tcW w:w="90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5,328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4,754</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Facilities segment (average monthly volumes):</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9180" w:type="dxa"/>
            <w:vAlign w:val="bottom"/>
            <w:gridSpan w:val="2"/>
          </w:tcPr>
          <w:p>
            <w:pPr>
              <w:ind w:left="160"/>
              <w:spacing w:after="0"/>
              <w:rPr>
                <w:sz w:val="20"/>
                <w:szCs w:val="20"/>
                <w:color w:val="auto"/>
              </w:rPr>
            </w:pPr>
            <w:r>
              <w:rPr>
                <w:rFonts w:ascii="Arial" w:cs="Arial" w:eastAsia="Arial" w:hAnsi="Arial"/>
                <w:sz w:val="18"/>
                <w:szCs w:val="18"/>
                <w:color w:val="auto"/>
              </w:rPr>
              <w:t>Liquids storage (average monthly capacity in millions of barrels)</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109</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111</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280" w:type="dxa"/>
            <w:vAlign w:val="bottom"/>
            <w:tcBorders>
              <w:top w:val="single" w:sz="8" w:color="CCEEFF"/>
              <w:bottom w:val="single" w:sz="8" w:color="CCEEFF"/>
            </w:tcBorders>
            <w:shd w:val="clear" w:color="auto" w:fill="CCEEFF"/>
          </w:tcPr>
          <w:p>
            <w:pPr>
              <w:ind w:left="160"/>
              <w:spacing w:after="0" w:line="190" w:lineRule="exact"/>
              <w:rPr>
                <w:sz w:val="20"/>
                <w:szCs w:val="20"/>
                <w:color w:val="auto"/>
              </w:rPr>
            </w:pPr>
            <w:r>
              <w:rPr>
                <w:rFonts w:ascii="Arial" w:cs="Arial" w:eastAsia="Arial" w:hAnsi="Arial"/>
                <w:sz w:val="18"/>
                <w:szCs w:val="18"/>
                <w:color w:val="auto"/>
              </w:rPr>
              <w:t>Natural gas storage (average monthly working capacity in billions of cubic feet)</w:t>
            </w:r>
          </w:p>
        </w:tc>
        <w:tc>
          <w:tcPr>
            <w:tcW w:w="900" w:type="dxa"/>
            <w:vAlign w:val="bottom"/>
            <w:tcBorders>
              <w:top w:val="single" w:sz="8" w:color="auto"/>
              <w:bottom w:val="single" w:sz="8" w:color="auto"/>
            </w:tcBorders>
            <w:shd w:val="clear" w:color="auto" w:fill="CCEEFF"/>
          </w:tcPr>
          <w:p>
            <w:pPr>
              <w:spacing w:after="0"/>
              <w:rPr>
                <w:sz w:val="17"/>
                <w:szCs w:val="17"/>
                <w:color w:val="auto"/>
              </w:rPr>
            </w:pPr>
          </w:p>
        </w:tc>
        <w:tc>
          <w:tcPr>
            <w:tcW w:w="4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67</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13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97</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80" w:type="dxa"/>
            <w:vAlign w:val="bottom"/>
            <w:vMerge w:val="restart"/>
          </w:tcPr>
          <w:p>
            <w:pPr>
              <w:ind w:left="160"/>
              <w:spacing w:after="0"/>
              <w:rPr>
                <w:sz w:val="20"/>
                <w:szCs w:val="20"/>
                <w:color w:val="auto"/>
              </w:rPr>
            </w:pPr>
            <w:r>
              <w:rPr>
                <w:rFonts w:ascii="Arial" w:cs="Arial" w:eastAsia="Arial" w:hAnsi="Arial"/>
                <w:sz w:val="18"/>
                <w:szCs w:val="18"/>
                <w:color w:val="auto"/>
              </w:rPr>
              <w:t>NGL fractionation (average volumes in thousands of barrels per day)</w:t>
            </w: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8280" w:type="dxa"/>
            <w:vAlign w:val="bottom"/>
            <w:tcBorders>
              <w:bottom w:val="single" w:sz="8" w:color="CCEEFF"/>
            </w:tcBorders>
            <w:vMerge w:val="continue"/>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138</w:t>
            </w:r>
          </w:p>
        </w:tc>
        <w:tc>
          <w:tcPr>
            <w:tcW w:w="280" w:type="dxa"/>
            <w:vAlign w:val="bottom"/>
            <w:tcBorders>
              <w:bottom w:val="single" w:sz="8" w:color="CCEEFF"/>
            </w:tcBorders>
            <w:vMerge w:val="continue"/>
          </w:tcPr>
          <w:p>
            <w:pPr>
              <w:spacing w:after="0"/>
              <w:rPr>
                <w:sz w:val="20"/>
                <w:szCs w:val="20"/>
                <w:color w:val="auto"/>
              </w:rPr>
            </w:pPr>
          </w:p>
        </w:tc>
        <w:tc>
          <w:tcPr>
            <w:tcW w:w="13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125</w:t>
            </w:r>
          </w:p>
        </w:tc>
        <w:tc>
          <w:tcPr>
            <w:tcW w:w="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280" w:type="dxa"/>
            <w:vAlign w:val="bottom"/>
            <w:tcBorders>
              <w:bottom w:val="single" w:sz="8" w:color="CCEEFF"/>
            </w:tcBorders>
            <w:shd w:val="clear" w:color="auto" w:fill="CCEEFF"/>
          </w:tcPr>
          <w:p>
            <w:pPr>
              <w:spacing w:after="0" w:line="197" w:lineRule="exact"/>
              <w:rPr>
                <w:sz w:val="20"/>
                <w:szCs w:val="20"/>
                <w:color w:val="auto"/>
              </w:rPr>
            </w:pPr>
            <w:r>
              <w:rPr>
                <w:rFonts w:ascii="Arial" w:cs="Arial" w:eastAsia="Arial" w:hAnsi="Arial"/>
                <w:sz w:val="17"/>
                <w:szCs w:val="17"/>
                <w:color w:val="auto"/>
              </w:rPr>
              <w:t xml:space="preserve">Facilities segment total volumes (average monthly volumes in millions of barrels) </w:t>
            </w:r>
            <w:r>
              <w:rPr>
                <w:rFonts w:ascii="Arial" w:cs="Arial" w:eastAsia="Arial" w:hAnsi="Arial"/>
                <w:sz w:val="22"/>
                <w:szCs w:val="22"/>
                <w:color w:val="auto"/>
                <w:vertAlign w:val="superscript"/>
              </w:rPr>
              <w:t>(3)</w:t>
            </w:r>
          </w:p>
        </w:tc>
        <w:tc>
          <w:tcPr>
            <w:tcW w:w="90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124</w:t>
            </w:r>
          </w:p>
        </w:tc>
        <w:tc>
          <w:tcPr>
            <w:tcW w:w="28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131</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Supply and Logistics segment (average daily volumes in thousands of barrels per day):</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ind w:left="160"/>
              <w:spacing w:after="0"/>
              <w:rPr>
                <w:sz w:val="20"/>
                <w:szCs w:val="20"/>
                <w:color w:val="auto"/>
              </w:rPr>
            </w:pPr>
            <w:r>
              <w:rPr>
                <w:rFonts w:ascii="Arial" w:cs="Arial" w:eastAsia="Arial" w:hAnsi="Arial"/>
                <w:sz w:val="18"/>
                <w:szCs w:val="18"/>
                <w:color w:val="auto"/>
              </w:rPr>
              <w:t>Crude oil lease gathering purchases</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1,031</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916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NGL sales</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361</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Supply and Logistics segment total volumes</w:t>
            </w:r>
          </w:p>
        </w:tc>
        <w:tc>
          <w:tcPr>
            <w:tcW w:w="90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1,392</w:t>
            </w:r>
          </w:p>
        </w:tc>
        <w:tc>
          <w:tcPr>
            <w:tcW w:w="28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1,267</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205740</wp:posOffset>
            </wp:positionV>
            <wp:extent cx="177546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775460" cy="8890"/>
                    </a:xfrm>
                    <a:prstGeom prst="rect">
                      <a:avLst/>
                    </a:prstGeom>
                    <a:noFill/>
                  </pic:spPr>
                </pic:pic>
              </a:graphicData>
            </a:graphic>
          </wp:anchor>
        </w:drawing>
      </w:r>
    </w:p>
    <w:p>
      <w:pPr>
        <w:spacing w:after="0" w:line="389" w:lineRule="exact"/>
        <w:rPr>
          <w:sz w:val="20"/>
          <w:szCs w:val="20"/>
          <w:color w:val="auto"/>
        </w:rPr>
      </w:pPr>
    </w:p>
    <w:p>
      <w:pPr>
        <w:ind w:left="320" w:hanging="312"/>
        <w:spacing w:after="0"/>
        <w:tabs>
          <w:tab w:leader="none" w:pos="320" w:val="left"/>
        </w:tabs>
        <w:numPr>
          <w:ilvl w:val="0"/>
          <w:numId w:val="7"/>
        </w:numPr>
        <w:rPr>
          <w:rFonts w:ascii="Arial" w:cs="Arial" w:eastAsia="Arial" w:hAnsi="Arial"/>
          <w:sz w:val="22"/>
          <w:szCs w:val="22"/>
          <w:color w:val="auto"/>
          <w:vertAlign w:val="superscript"/>
        </w:rPr>
      </w:pPr>
      <w:r>
        <w:rPr>
          <w:rFonts w:ascii="Arial" w:cs="Arial" w:eastAsia="Arial" w:hAnsi="Arial"/>
          <w:sz w:val="17"/>
          <w:szCs w:val="17"/>
          <w:color w:val="auto"/>
        </w:rPr>
        <w:t>Average volumes are calculated as total volumes for the period (attributable to our interest) divided by the number of days or months in the period.</w:t>
      </w:r>
    </w:p>
    <w:p>
      <w:pPr>
        <w:spacing w:after="0" w:line="1" w:lineRule="exact"/>
        <w:rPr>
          <w:rFonts w:ascii="Arial" w:cs="Arial" w:eastAsia="Arial" w:hAnsi="Arial"/>
          <w:sz w:val="22"/>
          <w:szCs w:val="22"/>
          <w:color w:val="auto"/>
          <w:vertAlign w:val="superscript"/>
        </w:rPr>
      </w:pPr>
    </w:p>
    <w:p>
      <w:pPr>
        <w:ind w:left="320" w:hanging="312"/>
        <w:spacing w:after="0" w:line="194" w:lineRule="auto"/>
        <w:tabs>
          <w:tab w:leader="none" w:pos="320"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Region includes volumes (attributable to our interest) from pipelines owned by unconsolidated entities.</w:t>
      </w:r>
    </w:p>
    <w:p>
      <w:pPr>
        <w:spacing w:after="0" w:line="2" w:lineRule="exact"/>
        <w:rPr>
          <w:rFonts w:ascii="Arial" w:cs="Arial" w:eastAsia="Arial" w:hAnsi="Arial"/>
          <w:sz w:val="23"/>
          <w:szCs w:val="23"/>
          <w:color w:val="auto"/>
          <w:vertAlign w:val="superscript"/>
        </w:rPr>
      </w:pPr>
    </w:p>
    <w:p>
      <w:pPr>
        <w:ind w:left="340" w:right="100" w:hanging="332"/>
        <w:spacing w:after="0" w:line="241" w:lineRule="auto"/>
        <w:tabs>
          <w:tab w:leader="none" w:pos="328" w:val="left"/>
        </w:tabs>
        <w:numPr>
          <w:ilvl w:val="0"/>
          <w:numId w:val="7"/>
        </w:numPr>
        <w:rPr>
          <w:rFonts w:ascii="Arial" w:cs="Arial" w:eastAsia="Arial" w:hAnsi="Arial"/>
          <w:sz w:val="22"/>
          <w:szCs w:val="22"/>
          <w:color w:val="auto"/>
          <w:vertAlign w:val="superscript"/>
        </w:rPr>
      </w:pPr>
      <w:r>
        <w:rPr>
          <w:rFonts w:ascii="Arial" w:cs="Arial" w:eastAsia="Arial" w:hAnsi="Arial"/>
          <w:sz w:val="17"/>
          <w:szCs w:val="17"/>
          <w:color w:val="auto"/>
        </w:rPr>
        <w:t>Facilities segment total volumes is calculated as the sum of: (i) liquids storage capacity; (ii) natural gas storage working capacity divided by 6 to account for the 6:1 mcf of natural gas to crude Btu equivalent ratio and further divided by 1,000 to convert to monthly volumes in millions; and (iii) NGL fractionation volumes multiplied by the number of days in the period and divided by the number of months in the period.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COMPUTATION OF BASIC AND DILUTED NET INCOME PER COMMON UNIT</w:t>
      </w:r>
      <w:r>
        <w:rPr>
          <w:rFonts w:ascii="Arial" w:cs="Arial" w:eastAsia="Arial" w:hAnsi="Arial"/>
          <w:sz w:val="18"/>
          <w:szCs w:val="18"/>
          <w:b w:val="1"/>
          <w:bCs w:val="1"/>
          <w:color w:val="auto"/>
        </w:rPr>
        <w:t xml:space="preserve"> </w:t>
      </w:r>
      <w:r>
        <w:rPr>
          <w:rFonts w:ascii="Arial" w:cs="Arial" w:eastAsia="Arial" w:hAnsi="Arial"/>
          <w:sz w:val="23"/>
          <w:szCs w:val="23"/>
          <w:b w:val="1"/>
          <w:bCs w:val="1"/>
          <w:color w:val="auto"/>
          <w:vertAlign w:val="superscript"/>
        </w:rPr>
        <w:t>(1)</w:t>
      </w:r>
    </w:p>
    <w:p>
      <w:pPr>
        <w:spacing w:after="0"/>
        <w:rPr>
          <w:sz w:val="20"/>
          <w:szCs w:val="20"/>
          <w:color w:val="auto"/>
        </w:rPr>
      </w:pPr>
      <w:r>
        <w:rPr>
          <w:rFonts w:ascii="Arial" w:cs="Arial" w:eastAsia="Arial" w:hAnsi="Arial"/>
          <w:sz w:val="18"/>
          <w:szCs w:val="18"/>
          <w:color w:val="auto"/>
        </w:rPr>
        <w:t>(in millions, except per unit data)</w:t>
      </w:r>
    </w:p>
    <w:p>
      <w:pPr>
        <w:spacing w:after="0" w:line="201"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Three Months Ended</w:t>
      </w:r>
    </w:p>
    <w:p>
      <w:pPr>
        <w:jc w:val="center"/>
        <w:ind w:left="82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040" w:type="dxa"/>
            <w:vAlign w:val="bottom"/>
            <w:tcBorders>
              <w:bottom w:val="single" w:sz="8" w:color="CCEEFF"/>
            </w:tcBorders>
          </w:tcPr>
          <w:p>
            <w:pPr>
              <w:spacing w:after="0"/>
              <w:rPr>
                <w:sz w:val="12"/>
                <w:szCs w:val="12"/>
                <w:color w:val="auto"/>
              </w:rPr>
            </w:pPr>
          </w:p>
        </w:tc>
        <w:tc>
          <w:tcPr>
            <w:tcW w:w="2240" w:type="dxa"/>
            <w:vAlign w:val="bottom"/>
            <w:tcBorders>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rPr>
              <w:t>2018</w:t>
            </w:r>
          </w:p>
        </w:tc>
        <w:tc>
          <w:tcPr>
            <w:tcW w:w="44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Basic Net Income per Common Unit</w:t>
            </w:r>
          </w:p>
        </w:tc>
        <w:tc>
          <w:tcPr>
            <w:tcW w:w="2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Net income</w:t>
            </w:r>
          </w:p>
        </w:tc>
        <w:tc>
          <w:tcPr>
            <w:tcW w:w="3180" w:type="dxa"/>
            <w:vAlign w:val="bottom"/>
            <w:gridSpan w:val="2"/>
          </w:tcPr>
          <w:p>
            <w:pPr>
              <w:jc w:val="right"/>
              <w:ind w:right="756"/>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288</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Distributions to Series A preferred unitholders</w:t>
            </w:r>
          </w:p>
        </w:tc>
        <w:tc>
          <w:tcPr>
            <w:tcW w:w="2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160"/>
              <w:spacing w:after="0"/>
              <w:rPr>
                <w:sz w:val="20"/>
                <w:szCs w:val="20"/>
                <w:color w:val="auto"/>
              </w:rPr>
            </w:pPr>
            <w:r>
              <w:rPr>
                <w:rFonts w:ascii="Arial" w:cs="Arial" w:eastAsia="Arial" w:hAnsi="Arial"/>
                <w:sz w:val="18"/>
                <w:szCs w:val="18"/>
                <w:color w:val="auto"/>
              </w:rPr>
              <w:t>Distributions to Series B preferred unitholders</w:t>
            </w:r>
          </w:p>
        </w:tc>
        <w:tc>
          <w:tcPr>
            <w:tcW w:w="2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(12)</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2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income allocated to common unitholders</w:t>
            </w:r>
          </w:p>
        </w:tc>
        <w:tc>
          <w:tcPr>
            <w:tcW w:w="2240" w:type="dxa"/>
            <w:vAlign w:val="bottom"/>
            <w:tcBorders>
              <w:bottom w:val="single" w:sz="8" w:color="CCEEFF"/>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756"/>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28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406</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040" w:type="dxa"/>
            <w:vAlign w:val="bottom"/>
            <w:shd w:val="clear" w:color="auto" w:fill="CCEEFF"/>
          </w:tcPr>
          <w:p>
            <w:pPr>
              <w:spacing w:after="0"/>
              <w:rPr>
                <w:sz w:val="17"/>
                <w:szCs w:val="17"/>
                <w:color w:val="auto"/>
              </w:rPr>
            </w:pPr>
          </w:p>
        </w:tc>
        <w:tc>
          <w:tcPr>
            <w:tcW w:w="2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Basic weighted average common units outstanding</w:t>
            </w:r>
          </w:p>
        </w:tc>
        <w:tc>
          <w:tcPr>
            <w:tcW w:w="2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725</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691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4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Basic net income per common unit</w:t>
            </w:r>
          </w:p>
        </w:tc>
        <w:tc>
          <w:tcPr>
            <w:tcW w:w="3180" w:type="dxa"/>
            <w:vAlign w:val="bottom"/>
            <w:gridSpan w:val="2"/>
          </w:tcPr>
          <w:p>
            <w:pPr>
              <w:jc w:val="right"/>
              <w:ind w:right="756"/>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0.33</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0.59</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040" w:type="dxa"/>
            <w:vAlign w:val="bottom"/>
            <w:tcBorders>
              <w:top w:val="single" w:sz="8" w:color="CCEEFF"/>
            </w:tcBorders>
            <w:shd w:val="clear" w:color="auto" w:fill="CCEEFF"/>
          </w:tcPr>
          <w:p>
            <w:pPr>
              <w:spacing w:after="0"/>
              <w:rPr>
                <w:sz w:val="17"/>
                <w:szCs w:val="17"/>
                <w:color w:val="auto"/>
              </w:rPr>
            </w:pPr>
          </w:p>
        </w:tc>
        <w:tc>
          <w:tcPr>
            <w:tcW w:w="224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b w:val="1"/>
                <w:bCs w:val="1"/>
                <w:color w:val="auto"/>
              </w:rPr>
              <w:t>Diluted Net Income per Common Unit</w:t>
            </w:r>
          </w:p>
        </w:tc>
        <w:tc>
          <w:tcPr>
            <w:tcW w:w="2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180" w:type="dxa"/>
            <w:vAlign w:val="bottom"/>
            <w:gridSpan w:val="2"/>
            <w:shd w:val="clear" w:color="auto" w:fill="CCEEFF"/>
          </w:tcPr>
          <w:p>
            <w:pPr>
              <w:jc w:val="right"/>
              <w:ind w:right="756"/>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288</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160"/>
              <w:spacing w:after="0"/>
              <w:rPr>
                <w:sz w:val="20"/>
                <w:szCs w:val="20"/>
                <w:color w:val="auto"/>
              </w:rPr>
            </w:pPr>
            <w:r>
              <w:rPr>
                <w:rFonts w:ascii="Arial" w:cs="Arial" w:eastAsia="Arial" w:hAnsi="Arial"/>
                <w:sz w:val="18"/>
                <w:szCs w:val="18"/>
                <w:color w:val="auto"/>
              </w:rPr>
              <w:t>Distributions to Series A preferred unitholders</w:t>
            </w:r>
          </w:p>
        </w:tc>
        <w:tc>
          <w:tcPr>
            <w:tcW w:w="2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(37)</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Distributions to Series B preferred unitholders</w:t>
            </w:r>
          </w:p>
        </w:tc>
        <w:tc>
          <w:tcPr>
            <w:tcW w:w="2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160"/>
              <w:spacing w:after="0"/>
              <w:rPr>
                <w:sz w:val="20"/>
                <w:szCs w:val="20"/>
                <w:color w:val="auto"/>
              </w:rPr>
            </w:pPr>
            <w:r>
              <w:rPr>
                <w:rFonts w:ascii="Arial" w:cs="Arial" w:eastAsia="Arial" w:hAnsi="Arial"/>
                <w:sz w:val="18"/>
                <w:szCs w:val="18"/>
                <w:color w:val="auto"/>
              </w:rPr>
              <w:t>Other</w:t>
            </w:r>
          </w:p>
        </w:tc>
        <w:tc>
          <w:tcPr>
            <w:tcW w:w="2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allocated to common unitholders</w:t>
            </w:r>
          </w:p>
        </w:tc>
        <w:tc>
          <w:tcPr>
            <w:tcW w:w="224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ind w:right="756"/>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0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common units outstanding</w:t>
            </w:r>
          </w:p>
        </w:tc>
        <w:tc>
          <w:tcPr>
            <w:tcW w:w="2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725</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2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Series A preferred units</w:t>
            </w:r>
          </w:p>
        </w:tc>
        <w:tc>
          <w:tcPr>
            <w:tcW w:w="2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Equity-indexed compensation plan awards </w:t>
            </w:r>
            <w:r>
              <w:rPr>
                <w:rFonts w:ascii="Arial" w:cs="Arial" w:eastAsia="Arial" w:hAnsi="Arial"/>
                <w:sz w:val="23"/>
                <w:szCs w:val="23"/>
                <w:color w:val="auto"/>
                <w:vertAlign w:val="superscript"/>
              </w:rPr>
              <w:t>(2)</w:t>
            </w:r>
          </w:p>
        </w:tc>
        <w:tc>
          <w:tcPr>
            <w:tcW w:w="2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 weighted average common units outstanding</w:t>
            </w:r>
          </w:p>
        </w:tc>
        <w:tc>
          <w:tcPr>
            <w:tcW w:w="224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18" w:right="239" w:bottom="0" w:gutter="0" w:footer="0" w:header="0"/>
        </w:sectPr>
      </w:pPr>
    </w:p>
    <w:bookmarkStart w:id="9" w:name="page10"/>
    <w:bookmarkEnd w:id="9"/>
    <w:p>
      <w:pPr>
        <w:spacing w:after="0"/>
        <w:tabs>
          <w:tab w:leader="none" w:pos="8280" w:val="left"/>
          <w:tab w:leader="none" w:pos="9340" w:val="left"/>
          <w:tab w:leader="none" w:pos="9940" w:val="left"/>
          <w:tab w:leader="none" w:pos="109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5422900</wp:posOffset>
            </wp:positionH>
            <wp:positionV relativeFrom="page">
              <wp:posOffset>97790</wp:posOffset>
            </wp:positionV>
            <wp:extent cx="1912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912620" cy="8890"/>
                    </a:xfrm>
                    <a:prstGeom prst="rect">
                      <a:avLst/>
                    </a:prstGeom>
                    <a:noFill/>
                  </pic:spPr>
                </pic:pic>
              </a:graphicData>
            </a:graphic>
          </wp:anchor>
        </w:drawing>
        <w:t xml:space="preserve">Diluted net income per common unit </w:t>
      </w:r>
      <w:r>
        <w:rPr>
          <w:rFonts w:ascii="Arial" w:cs="Arial" w:eastAsia="Arial" w:hAnsi="Arial"/>
          <w:sz w:val="23"/>
          <w:szCs w:val="23"/>
          <w:color w:val="auto"/>
          <w:vertAlign w:val="superscript"/>
        </w:rPr>
        <w:t>(3)</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0.33</w:t>
        <w:tab/>
        <w:t>$</w:t>
      </w:r>
      <w:r>
        <w:rPr>
          <w:sz w:val="20"/>
          <w:szCs w:val="20"/>
          <w:color w:val="auto"/>
        </w:rPr>
        <w:tab/>
      </w:r>
      <w:r>
        <w:rPr>
          <w:rFonts w:ascii="Arial" w:cs="Arial" w:eastAsia="Arial" w:hAnsi="Arial"/>
          <w:sz w:val="16"/>
          <w:szCs w:val="16"/>
          <w:color w:val="auto"/>
        </w:rPr>
        <w:t>0.58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7246620" cy="1631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6319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210185</wp:posOffset>
            </wp:positionV>
            <wp:extent cx="177546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775460" cy="8890"/>
                    </a:xfrm>
                    <a:prstGeom prst="rect">
                      <a:avLst/>
                    </a:prstGeom>
                    <a:noFill/>
                  </pic:spPr>
                </pic:pic>
              </a:graphicData>
            </a:graphic>
          </wp:anchor>
        </w:drawing>
      </w:r>
    </w:p>
    <w:p>
      <w:pPr>
        <w:sectPr>
          <w:pgSz w:w="11900" w:h="16838" w:orient="portrait"/>
          <w:cols w:equalWidth="0" w:num="1">
            <w:col w:w="11420"/>
          </w:cols>
          <w:pgMar w:left="240" w:top="368" w:right="239" w:bottom="266" w:gutter="0" w:footer="0" w:header="0"/>
        </w:sect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8" w:lineRule="exact"/>
        <w:rPr>
          <w:sz w:val="20"/>
          <w:szCs w:val="20"/>
          <w:color w:val="auto"/>
        </w:rPr>
      </w:pPr>
    </w:p>
    <w:p>
      <w:pPr>
        <w:ind w:left="20" w:right="20" w:hanging="11"/>
        <w:spacing w:after="0" w:line="254" w:lineRule="auto"/>
        <w:rPr>
          <w:sz w:val="20"/>
          <w:szCs w:val="20"/>
          <w:color w:val="auto"/>
        </w:rPr>
      </w:pPr>
      <w:r>
        <w:rPr>
          <w:rFonts w:ascii="Arial" w:cs="Arial" w:eastAsia="Arial" w:hAnsi="Arial"/>
          <w:sz w:val="18"/>
          <w:szCs w:val="18"/>
          <w:color w:val="auto"/>
        </w:rPr>
        <w:t>We calculate net income allocated to common unitholders based on the distributions pertaining to the current period’s net income (whether paid in cash or in-kind). After adjusting for the appropriate period’s distributions, the remaining undistributed earnings or excess distributions over earnings, if any, are allocated to common unitholders and participating securities in accordance with the contractual terms of our partnership agreement in effect for the period and as further prescribed under the two-class method.</w:t>
      </w:r>
    </w:p>
    <w:p>
      <w:pPr>
        <w:spacing w:after="0" w:line="2" w:lineRule="exact"/>
        <w:rPr>
          <w:sz w:val="20"/>
          <w:szCs w:val="20"/>
          <w:color w:val="auto"/>
        </w:rPr>
      </w:pPr>
    </w:p>
    <w:p>
      <w:pPr>
        <w:ind w:left="20" w:right="100" w:hanging="11"/>
        <w:spacing w:after="0" w:line="250" w:lineRule="auto"/>
        <w:rPr>
          <w:sz w:val="20"/>
          <w:szCs w:val="20"/>
          <w:color w:val="auto"/>
        </w:rPr>
      </w:pPr>
      <w:r>
        <w:rPr>
          <w:rFonts w:ascii="Arial" w:cs="Arial" w:eastAsia="Arial" w:hAnsi="Arial"/>
          <w:sz w:val="18"/>
          <w:szCs w:val="18"/>
          <w:color w:val="auto"/>
        </w:rPr>
        <w:t>Our Long-term Incentive Plan (“LTIP”) awards that contemplate the issuance of common units and certain AAP Management Units that contemplate the issuance of common units to AAP when such AAP Management Units become earned are considered dilutive unless (i) vesting occurs only upon the satisfaction of a performance condition and (ii) that performance condition has yet to be satisfied. LTIP awards and AAP Management Units that are deemed to be dilutive are reduced by a hypothetical unit repurchase based on the remaining unamortized fair value, as prescribed by the treasury stock method in guidance issued by the FASB.</w:t>
      </w:r>
    </w:p>
    <w:p>
      <w:pPr>
        <w:spacing w:after="0" w:line="2" w:lineRule="exact"/>
        <w:rPr>
          <w:sz w:val="20"/>
          <w:szCs w:val="20"/>
          <w:color w:val="auto"/>
        </w:rPr>
      </w:pPr>
    </w:p>
    <w:p>
      <w:pPr>
        <w:ind w:left="20" w:right="260" w:hanging="11"/>
        <w:spacing w:after="0" w:line="261" w:lineRule="auto"/>
        <w:rPr>
          <w:sz w:val="20"/>
          <w:szCs w:val="20"/>
          <w:color w:val="auto"/>
        </w:rPr>
      </w:pPr>
      <w:r>
        <w:rPr>
          <w:rFonts w:ascii="Arial" w:cs="Arial" w:eastAsia="Arial" w:hAnsi="Arial"/>
          <w:sz w:val="18"/>
          <w:szCs w:val="18"/>
          <w:color w:val="auto"/>
        </w:rPr>
        <w:t>The possible conversion of our Series A preferred units was excluded from the calculation of diluted net income per common unit for the three months ended March 31, 2018 as the effect was antidilutive.</w:t>
      </w:r>
    </w:p>
    <w:p>
      <w:pPr>
        <w:spacing w:after="0" w:line="184"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sectPr>
          <w:pgSz w:w="11900" w:h="16838" w:orient="portrait"/>
          <w:cols w:equalWidth="0" w:num="2">
            <w:col w:w="140" w:space="180"/>
            <w:col w:w="11100"/>
          </w:cols>
          <w:pgMar w:left="240" w:top="368" w:right="239" w:bottom="266" w:gutter="0" w:footer="0" w:header="0"/>
          <w:type w:val="continuous"/>
        </w:sect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SELECTED FINANCIAL DATA BY SEGMENT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3"/>
              </w:rPr>
              <w:t>Three Months Ended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3"/>
              </w:rPr>
              <w:t>Three Months Ended</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4"/>
              </w:rPr>
              <w:t>March 31, 2018</w:t>
            </w: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6"/>
              </w:rPr>
              <w:t>March 31, 2017</w:t>
            </w: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3"/>
              </w:rPr>
              <w:t>Transportation</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Facilities</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jc w:val="right"/>
              <w:ind w:right="133"/>
              <w:spacing w:after="0" w:line="119" w:lineRule="exact"/>
              <w:rPr>
                <w:sz w:val="20"/>
                <w:szCs w:val="20"/>
                <w:color w:val="auto"/>
              </w:rPr>
            </w:pPr>
            <w:r>
              <w:rPr>
                <w:rFonts w:ascii="Arial" w:cs="Arial" w:eastAsia="Arial" w:hAnsi="Arial"/>
                <w:sz w:val="13"/>
                <w:szCs w:val="13"/>
                <w:b w:val="1"/>
                <w:bCs w:val="1"/>
                <w:color w:val="auto"/>
              </w:rPr>
              <w:t>Supply and</w:t>
            </w: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93"/>
              </w:rPr>
              <w:t>Transportation</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0"/>
              </w:rPr>
              <w:t>Facilities</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jc w:val="right"/>
              <w:ind w:right="133"/>
              <w:spacing w:after="0" w:line="119" w:lineRule="exact"/>
              <w:rPr>
                <w:sz w:val="20"/>
                <w:szCs w:val="20"/>
                <w:color w:val="auto"/>
              </w:rPr>
            </w:pPr>
            <w:r>
              <w:rPr>
                <w:rFonts w:ascii="Arial" w:cs="Arial" w:eastAsia="Arial" w:hAnsi="Arial"/>
                <w:sz w:val="13"/>
                <w:szCs w:val="13"/>
                <w:b w:val="1"/>
                <w:bCs w:val="1"/>
                <w:color w:val="auto"/>
              </w:rPr>
              <w:t>Supply and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Logistics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Logistics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tcBorders>
              <w:top w:val="single" w:sz="8" w:color="CCEEFF"/>
            </w:tcBorders>
            <w:shd w:val="clear" w:color="auto" w:fill="CCEEFF"/>
          </w:tcPr>
          <w:p>
            <w:pPr>
              <w:spacing w:after="0" w:line="210" w:lineRule="exact"/>
              <w:rPr>
                <w:sz w:val="20"/>
                <w:szCs w:val="20"/>
                <w:color w:val="auto"/>
              </w:rPr>
            </w:pPr>
            <w:r>
              <w:rPr>
                <w:rFonts w:ascii="Arial" w:cs="Arial" w:eastAsia="Arial" w:hAnsi="Arial"/>
                <w:sz w:val="18"/>
                <w:szCs w:val="18"/>
                <w:color w:val="auto"/>
              </w:rPr>
              <w:t xml:space="preserve">Revenues </w:t>
            </w:r>
            <w:r>
              <w:rPr>
                <w:rFonts w:ascii="Arial" w:cs="Arial" w:eastAsia="Arial" w:hAnsi="Arial"/>
                <w:sz w:val="23"/>
                <w:szCs w:val="23"/>
                <w:color w:val="auto"/>
                <w:vertAlign w:val="superscript"/>
              </w:rPr>
              <w:t>(1)</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8,112</w:t>
            </w:r>
          </w:p>
        </w:tc>
        <w:tc>
          <w:tcPr>
            <w:tcW w:w="240" w:type="dxa"/>
            <w:vAlign w:val="bottom"/>
            <w:tcBorders>
              <w:top w:val="single" w:sz="8" w:color="CCEEFF"/>
              <w:right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line="216" w:lineRule="exact"/>
              <w:rPr>
                <w:sz w:val="20"/>
                <w:szCs w:val="20"/>
                <w:color w:val="auto"/>
              </w:rPr>
            </w:pPr>
            <w:r>
              <w:rPr>
                <w:rFonts w:ascii="Arial" w:cs="Arial" w:eastAsia="Arial" w:hAnsi="Arial"/>
                <w:sz w:val="18"/>
                <w:szCs w:val="18"/>
                <w:color w:val="auto"/>
              </w:rPr>
              <w:t xml:space="preserve">Purchases and related costs </w:t>
            </w:r>
            <w:r>
              <w:rPr>
                <w:rFonts w:ascii="Arial" w:cs="Arial" w:eastAsia="Arial" w:hAnsi="Arial"/>
                <w:sz w:val="23"/>
                <w:szCs w:val="23"/>
                <w:color w:val="auto"/>
                <w:vertAlign w:val="superscript"/>
              </w:rPr>
              <w:t>(1)</w:t>
            </w:r>
          </w:p>
        </w:tc>
        <w:tc>
          <w:tcPr>
            <w:tcW w:w="10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(7,925)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(5,970)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Field operating costs </w:t>
            </w:r>
            <w:r>
              <w:rPr>
                <w:rFonts w:ascii="Arial" w:cs="Arial" w:eastAsia="Arial" w:hAnsi="Arial"/>
                <w:sz w:val="23"/>
                <w:szCs w:val="23"/>
                <w:color w:val="auto"/>
                <w:vertAlign w:val="superscript"/>
              </w:rPr>
              <w:t>(1) (2)</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80" w:type="dxa"/>
            <w:vAlign w:val="bottom"/>
          </w:tcPr>
          <w:p>
            <w:pPr>
              <w:spacing w:after="0" w:line="201" w:lineRule="exact"/>
              <w:rPr>
                <w:sz w:val="20"/>
                <w:szCs w:val="20"/>
                <w:color w:val="auto"/>
              </w:rPr>
            </w:pPr>
            <w:r>
              <w:rPr>
                <w:rFonts w:ascii="Arial" w:cs="Arial" w:eastAsia="Arial" w:hAnsi="Arial"/>
                <w:sz w:val="18"/>
                <w:szCs w:val="18"/>
                <w:color w:val="auto"/>
              </w:rPr>
              <w:t>Segment general and administrative</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tcPr>
          <w:p>
            <w:pPr>
              <w:ind w:left="160"/>
              <w:spacing w:after="0" w:line="231" w:lineRule="exact"/>
              <w:rPr>
                <w:sz w:val="20"/>
                <w:szCs w:val="20"/>
                <w:color w:val="auto"/>
              </w:rPr>
            </w:pPr>
            <w:r>
              <w:rPr>
                <w:rFonts w:ascii="Arial" w:cs="Arial" w:eastAsia="Arial" w:hAnsi="Arial"/>
                <w:sz w:val="18"/>
                <w:szCs w:val="18"/>
                <w:color w:val="auto"/>
              </w:rPr>
              <w:t xml:space="preserve">expenses </w:t>
            </w:r>
            <w:r>
              <w:rPr>
                <w:rFonts w:ascii="Arial" w:cs="Arial" w:eastAsia="Arial" w:hAnsi="Arial"/>
                <w:sz w:val="23"/>
                <w:szCs w:val="23"/>
                <w:color w:val="auto"/>
                <w:vertAlign w:val="superscript"/>
              </w:rPr>
              <w:t>(2) (3)</w:t>
            </w:r>
          </w:p>
        </w:tc>
        <w:tc>
          <w:tcPr>
            <w:tcW w:w="10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Equity earnings in unconsolidated</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entities</w:t>
            </w: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3"/>
                <w:szCs w:val="23"/>
                <w:color w:val="auto"/>
                <w:vertAlign w:val="superscript"/>
              </w:rPr>
              <w:t>(4)</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80" w:type="dxa"/>
            <w:vAlign w:val="bottom"/>
          </w:tcPr>
          <w:p>
            <w:pPr>
              <w:ind w:left="160"/>
              <w:spacing w:after="0" w:line="201" w:lineRule="exact"/>
              <w:rPr>
                <w:sz w:val="20"/>
                <w:szCs w:val="20"/>
                <w:color w:val="auto"/>
              </w:rPr>
            </w:pPr>
            <w:r>
              <w:rPr>
                <w:rFonts w:ascii="Arial" w:cs="Arial" w:eastAsia="Arial" w:hAnsi="Arial"/>
                <w:sz w:val="18"/>
                <w:szCs w:val="18"/>
                <w:color w:val="auto"/>
              </w:rPr>
              <w:t>Depreciation and amortization of</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tcPr>
          <w:p>
            <w:pPr>
              <w:ind w:left="340"/>
              <w:spacing w:after="0"/>
              <w:rPr>
                <w:sz w:val="20"/>
                <w:szCs w:val="20"/>
                <w:color w:val="auto"/>
              </w:rPr>
            </w:pPr>
            <w:r>
              <w:rPr>
                <w:rFonts w:ascii="Arial" w:cs="Arial" w:eastAsia="Arial" w:hAnsi="Arial"/>
                <w:sz w:val="18"/>
                <w:szCs w:val="18"/>
                <w:color w:val="auto"/>
              </w:rPr>
              <w:t>unconsolidated entities</w:t>
            </w:r>
          </w:p>
        </w:tc>
        <w:tc>
          <w:tcPr>
            <w:tcW w:w="10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8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(Gains)/losses from derivative</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activities net of inventory</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valuation adjustments</w:t>
            </w: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80" w:type="dxa"/>
            <w:vAlign w:val="bottom"/>
          </w:tcPr>
          <w:p>
            <w:pPr>
              <w:ind w:left="160"/>
              <w:spacing w:after="0" w:line="201" w:lineRule="exact"/>
              <w:rPr>
                <w:sz w:val="20"/>
                <w:szCs w:val="20"/>
                <w:color w:val="auto"/>
              </w:rPr>
            </w:pPr>
            <w:r>
              <w:rPr>
                <w:rFonts w:ascii="Arial" w:cs="Arial" w:eastAsia="Arial" w:hAnsi="Arial"/>
                <w:sz w:val="18"/>
                <w:szCs w:val="18"/>
                <w:color w:val="auto"/>
              </w:rPr>
              <w:t>Long-term inventory costing</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tcPr>
          <w:p>
            <w:pPr>
              <w:ind w:left="340"/>
              <w:spacing w:after="0"/>
              <w:rPr>
                <w:sz w:val="20"/>
                <w:szCs w:val="20"/>
                <w:color w:val="auto"/>
              </w:rPr>
            </w:pPr>
            <w:r>
              <w:rPr>
                <w:rFonts w:ascii="Arial" w:cs="Arial" w:eastAsia="Arial" w:hAnsi="Arial"/>
                <w:sz w:val="18"/>
                <w:szCs w:val="18"/>
                <w:color w:val="auto"/>
              </w:rPr>
              <w:t>adjustments</w:t>
            </w:r>
          </w:p>
        </w:tc>
        <w:tc>
          <w:tcPr>
            <w:tcW w:w="10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8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Deficiencies under minimum</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volume commitments, net</w:t>
            </w: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80" w:type="dxa"/>
            <w:vAlign w:val="bottom"/>
          </w:tcPr>
          <w:p>
            <w:pPr>
              <w:ind w:left="160"/>
              <w:spacing w:after="0" w:line="201" w:lineRule="exact"/>
              <w:rPr>
                <w:sz w:val="20"/>
                <w:szCs w:val="20"/>
                <w:color w:val="auto"/>
              </w:rPr>
            </w:pPr>
            <w:r>
              <w:rPr>
                <w:rFonts w:ascii="Arial" w:cs="Arial" w:eastAsia="Arial" w:hAnsi="Arial"/>
                <w:sz w:val="18"/>
                <w:szCs w:val="18"/>
                <w:color w:val="auto"/>
              </w:rPr>
              <w:t>Equity-indexed compensation</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tcPr>
          <w:p>
            <w:pPr>
              <w:ind w:left="340"/>
              <w:spacing w:after="0"/>
              <w:rPr>
                <w:sz w:val="20"/>
                <w:szCs w:val="20"/>
                <w:color w:val="auto"/>
              </w:rPr>
            </w:pPr>
            <w:r>
              <w:rPr>
                <w:rFonts w:ascii="Arial" w:cs="Arial" w:eastAsia="Arial" w:hAnsi="Arial"/>
                <w:sz w:val="18"/>
                <w:szCs w:val="18"/>
                <w:color w:val="auto"/>
              </w:rPr>
              <w:t>expense</w:t>
            </w:r>
          </w:p>
        </w:tc>
        <w:tc>
          <w:tcPr>
            <w:tcW w:w="10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8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Net (gain)/loss on foreign currency</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revaluation</w:t>
            </w: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40" w:type="dxa"/>
            <w:vAlign w:val="bottom"/>
            <w:tcBorders>
              <w:right w:val="single" w:sz="8" w:color="auto"/>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80" w:type="dxa"/>
            <w:vAlign w:val="bottom"/>
          </w:tcPr>
          <w:p>
            <w:pPr>
              <w:ind w:left="160"/>
              <w:spacing w:after="0" w:line="201" w:lineRule="exact"/>
              <w:rPr>
                <w:sz w:val="20"/>
                <w:szCs w:val="20"/>
                <w:color w:val="auto"/>
              </w:rPr>
            </w:pPr>
            <w:r>
              <w:rPr>
                <w:rFonts w:ascii="Arial" w:cs="Arial" w:eastAsia="Arial" w:hAnsi="Arial"/>
                <w:sz w:val="18"/>
                <w:szCs w:val="18"/>
                <w:color w:val="auto"/>
              </w:rPr>
              <w:t>Significant acquisition-related</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tcPr>
          <w:p>
            <w:pPr>
              <w:ind w:left="340"/>
              <w:spacing w:after="0"/>
              <w:rPr>
                <w:sz w:val="20"/>
                <w:szCs w:val="20"/>
                <w:color w:val="auto"/>
              </w:rPr>
            </w:pPr>
            <w:r>
              <w:rPr>
                <w:rFonts w:ascii="Arial" w:cs="Arial" w:eastAsia="Arial" w:hAnsi="Arial"/>
                <w:sz w:val="18"/>
                <w:szCs w:val="18"/>
                <w:color w:val="auto"/>
              </w:rPr>
              <w:t>expenses</w:t>
            </w:r>
          </w:p>
        </w:tc>
        <w:tc>
          <w:tcPr>
            <w:tcW w:w="10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Segment adjusted EBITDA</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40" w:type="dxa"/>
            <w:vAlign w:val="bottom"/>
            <w:tcBorders>
              <w:top w:val="single" w:sz="8" w:color="CCEEFF"/>
              <w:bottom w:val="single" w:sz="8" w:color="CCEEFF"/>
              <w:right w:val="single" w:sz="8" w:color="auto"/>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Maintenance capital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w:t>
            </w:r>
          </w:p>
        </w:tc>
        <w:tc>
          <w:tcPr>
            <w:tcW w:w="2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205740</wp:posOffset>
            </wp:positionV>
            <wp:extent cx="177546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775460" cy="8890"/>
                    </a:xfrm>
                    <a:prstGeom prst="rect">
                      <a:avLst/>
                    </a:prstGeom>
                    <a:noFill/>
                  </pic:spPr>
                </pic:pic>
              </a:graphicData>
            </a:graphic>
          </wp:anchor>
        </w:drawing>
      </w:r>
    </w:p>
    <w:p>
      <w:pPr>
        <w:spacing w:after="0" w:line="377" w:lineRule="exact"/>
        <w:rPr>
          <w:sz w:val="20"/>
          <w:szCs w:val="20"/>
          <w:color w:val="auto"/>
        </w:rPr>
      </w:pPr>
    </w:p>
    <w:p>
      <w:pPr>
        <w:ind w:left="320" w:hanging="312"/>
        <w:spacing w:after="0"/>
        <w:tabs>
          <w:tab w:leader="none" w:pos="320" w:val="left"/>
        </w:tabs>
        <w:numPr>
          <w:ilvl w:val="0"/>
          <w:numId w:val="8"/>
        </w:numPr>
        <w:rPr>
          <w:rFonts w:ascii="Arial" w:cs="Arial" w:eastAsia="Arial" w:hAnsi="Arial"/>
          <w:sz w:val="23"/>
          <w:szCs w:val="23"/>
          <w:color w:val="auto"/>
          <w:vertAlign w:val="superscript"/>
        </w:rPr>
      </w:pPr>
      <w:r>
        <w:rPr>
          <w:rFonts w:ascii="Arial" w:cs="Arial" w:eastAsia="Arial" w:hAnsi="Arial"/>
          <w:sz w:val="18"/>
          <w:szCs w:val="18"/>
          <w:color w:val="auto"/>
        </w:rPr>
        <w:t>Includes intersegment amounts.</w:t>
      </w:r>
    </w:p>
    <w:p>
      <w:pPr>
        <w:spacing w:after="0" w:line="1" w:lineRule="exact"/>
        <w:rPr>
          <w:rFonts w:ascii="Arial" w:cs="Arial" w:eastAsia="Arial" w:hAnsi="Arial"/>
          <w:sz w:val="23"/>
          <w:szCs w:val="23"/>
          <w:color w:val="auto"/>
          <w:vertAlign w:val="superscript"/>
        </w:rPr>
      </w:pPr>
    </w:p>
    <w:p>
      <w:pPr>
        <w:ind w:left="320" w:hanging="312"/>
        <w:spacing w:after="0" w:line="194" w:lineRule="auto"/>
        <w:tabs>
          <w:tab w:leader="none" w:pos="320" w:val="left"/>
        </w:tabs>
        <w:numPr>
          <w:ilvl w:val="0"/>
          <w:numId w:val="8"/>
        </w:numPr>
        <w:rPr>
          <w:rFonts w:ascii="Arial" w:cs="Arial" w:eastAsia="Arial" w:hAnsi="Arial"/>
          <w:sz w:val="23"/>
          <w:szCs w:val="23"/>
          <w:color w:val="auto"/>
          <w:vertAlign w:val="superscript"/>
        </w:rPr>
      </w:pPr>
      <w:r>
        <w:rPr>
          <w:rFonts w:ascii="Arial" w:cs="Arial" w:eastAsia="Arial" w:hAnsi="Arial"/>
          <w:sz w:val="18"/>
          <w:szCs w:val="18"/>
          <w:color w:val="auto"/>
        </w:rPr>
        <w:t>Field operating costs and Segment general and administrative expenses include equity-indexed compensation expense.</w:t>
      </w:r>
    </w:p>
    <w:p>
      <w:pPr>
        <w:spacing w:after="0" w:line="2" w:lineRule="exact"/>
        <w:rPr>
          <w:rFonts w:ascii="Arial" w:cs="Arial" w:eastAsia="Arial" w:hAnsi="Arial"/>
          <w:sz w:val="23"/>
          <w:szCs w:val="23"/>
          <w:color w:val="auto"/>
          <w:vertAlign w:val="superscript"/>
        </w:rPr>
      </w:pPr>
    </w:p>
    <w:p>
      <w:pPr>
        <w:ind w:left="340" w:right="280" w:hanging="332"/>
        <w:spacing w:after="0" w:line="242" w:lineRule="auto"/>
        <w:tabs>
          <w:tab w:leader="none" w:pos="328" w:val="left"/>
        </w:tabs>
        <w:numPr>
          <w:ilvl w:val="0"/>
          <w:numId w:val="8"/>
        </w:numPr>
        <w:rPr>
          <w:rFonts w:ascii="Arial" w:cs="Arial" w:eastAsia="Arial" w:hAnsi="Arial"/>
          <w:sz w:val="21"/>
          <w:szCs w:val="21"/>
          <w:color w:val="auto"/>
          <w:vertAlign w:val="superscript"/>
        </w:rPr>
      </w:pPr>
      <w:r>
        <w:rPr>
          <w:rFonts w:ascii="Arial" w:cs="Arial" w:eastAsia="Arial" w:hAnsi="Arial"/>
          <w:sz w:val="16"/>
          <w:szCs w:val="16"/>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1" w:lineRule="exact"/>
        <w:rPr>
          <w:rFonts w:ascii="Arial" w:cs="Arial" w:eastAsia="Arial" w:hAnsi="Arial"/>
          <w:sz w:val="21"/>
          <w:szCs w:val="21"/>
          <w:color w:val="auto"/>
          <w:vertAlign w:val="superscript"/>
        </w:rPr>
      </w:pPr>
    </w:p>
    <w:p>
      <w:pPr>
        <w:ind w:left="340" w:right="40" w:hanging="332"/>
        <w:spacing w:after="0" w:line="229" w:lineRule="auto"/>
        <w:tabs>
          <w:tab w:leader="none" w:pos="328" w:val="left"/>
        </w:tabs>
        <w:numPr>
          <w:ilvl w:val="0"/>
          <w:numId w:val="8"/>
        </w:numPr>
        <w:rPr>
          <w:rFonts w:ascii="Arial" w:cs="Arial" w:eastAsia="Arial" w:hAnsi="Arial"/>
          <w:sz w:val="23"/>
          <w:szCs w:val="23"/>
          <w:color w:val="auto"/>
          <w:vertAlign w:val="superscript"/>
        </w:rPr>
      </w:pPr>
      <w:r>
        <w:rPr>
          <w:rFonts w:ascii="Arial" w:cs="Arial" w:eastAsia="Arial" w:hAnsi="Arial"/>
          <w:sz w:val="18"/>
          <w:szCs w:val="18"/>
          <w:color w:val="auto"/>
        </w:rPr>
        <w:t>Represents adjustments utilized by our Chief Operating Decision Maker (“CODM”) in the evaluation of segment results. Many of these adjustments are also considered selected items impacting comparability when calculating consolidated non-GAAP financial measures such as Adjusted EBITDA. See the “Selected Items Impacting Comparability” table for additional discussion.</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32"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8" w:right="239" w:bottom="266" w:gutter="0" w:footer="0" w:header="0"/>
          <w:type w:val="continuous"/>
        </w:sectPr>
      </w:pPr>
    </w:p>
    <w:bookmarkStart w:id="10" w:name="page11"/>
    <w:bookmarkEnd w:id="10"/>
    <w:p>
      <w:pPr>
        <w:spacing w:after="0" w:line="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SELECTED ITEMS IMPACTING COMPARABILITY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data)</w:t>
      </w:r>
    </w:p>
    <w:p>
      <w:pPr>
        <w:spacing w:after="0" w:line="202"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Three Months Ended</w:t>
      </w:r>
    </w:p>
    <w:p>
      <w:pPr>
        <w:jc w:val="center"/>
        <w:ind w:left="82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780" w:type="dxa"/>
            <w:vAlign w:val="bottom"/>
            <w:tcBorders>
              <w:bottom w:val="single" w:sz="8" w:color="CCEEFF"/>
            </w:tcBorders>
          </w:tcPr>
          <w:p>
            <w:pPr>
              <w:spacing w:after="0"/>
              <w:rPr>
                <w:sz w:val="12"/>
                <w:szCs w:val="12"/>
                <w:color w:val="auto"/>
              </w:rPr>
            </w:pPr>
          </w:p>
        </w:tc>
        <w:tc>
          <w:tcPr>
            <w:tcW w:w="1520" w:type="dxa"/>
            <w:vAlign w:val="bottom"/>
            <w:tcBorders>
              <w:bottom w:val="single" w:sz="8" w:color="CCEEFF"/>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2018</w:t>
            </w:r>
          </w:p>
        </w:tc>
        <w:tc>
          <w:tcPr>
            <w:tcW w:w="40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2"/>
                <w:szCs w:val="12"/>
                <w:color w:val="auto"/>
              </w:rPr>
            </w:pPr>
          </w:p>
        </w:tc>
      </w:tr>
      <w:tr>
        <w:trPr>
          <w:trHeight w:val="196"/>
        </w:trPr>
        <w:tc>
          <w:tcPr>
            <w:tcW w:w="6780" w:type="dxa"/>
            <w:vAlign w:val="bottom"/>
            <w:shd w:val="clear" w:color="auto" w:fill="CCEEFF"/>
          </w:tcPr>
          <w:p>
            <w:pPr>
              <w:spacing w:after="0" w:line="197" w:lineRule="exact"/>
              <w:rPr>
                <w:sz w:val="20"/>
                <w:szCs w:val="20"/>
                <w:color w:val="auto"/>
              </w:rPr>
            </w:pPr>
            <w:r>
              <w:rPr>
                <w:rFonts w:ascii="Arial" w:cs="Arial" w:eastAsia="Arial" w:hAnsi="Arial"/>
                <w:sz w:val="17"/>
                <w:szCs w:val="17"/>
                <w:b w:val="1"/>
                <w:bCs w:val="1"/>
                <w:color w:val="auto"/>
              </w:rPr>
              <w:t xml:space="preserve">Selected Items Impacting Comparability: </w:t>
            </w:r>
            <w:r>
              <w:rPr>
                <w:rFonts w:ascii="Arial" w:cs="Arial" w:eastAsia="Arial" w:hAnsi="Arial"/>
                <w:sz w:val="22"/>
                <w:szCs w:val="22"/>
                <w:b w:val="1"/>
                <w:bCs w:val="1"/>
                <w:color w:val="auto"/>
                <w:vertAlign w:val="superscript"/>
              </w:rPr>
              <w:t>(1)</w:t>
            </w:r>
          </w:p>
        </w:tc>
        <w:tc>
          <w:tcPr>
            <w:tcW w:w="15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780" w:type="dxa"/>
            <w:vAlign w:val="bottom"/>
          </w:tcPr>
          <w:p>
            <w:pPr>
              <w:spacing w:after="0" w:line="216" w:lineRule="exact"/>
              <w:rPr>
                <w:sz w:val="20"/>
                <w:szCs w:val="20"/>
                <w:color w:val="auto"/>
              </w:rPr>
            </w:pPr>
            <w:r>
              <w:rPr>
                <w:rFonts w:ascii="Arial" w:cs="Arial" w:eastAsia="Arial" w:hAnsi="Arial"/>
                <w:sz w:val="18"/>
                <w:szCs w:val="18"/>
                <w:color w:val="auto"/>
              </w:rPr>
              <w:t xml:space="preserve">Gains from derivative activities net of inventory valuation adjustments </w:t>
            </w:r>
            <w:r>
              <w:rPr>
                <w:rFonts w:ascii="Arial" w:cs="Arial" w:eastAsia="Arial" w:hAnsi="Arial"/>
                <w:sz w:val="23"/>
                <w:szCs w:val="23"/>
                <w:color w:val="auto"/>
                <w:vertAlign w:val="superscript"/>
              </w:rPr>
              <w:t>(2)</w:t>
            </w:r>
          </w:p>
        </w:tc>
        <w:tc>
          <w:tcPr>
            <w:tcW w:w="2500" w:type="dxa"/>
            <w:vAlign w:val="bottom"/>
            <w:gridSpan w:val="2"/>
          </w:tcPr>
          <w:p>
            <w:pPr>
              <w:jc w:val="right"/>
              <w:ind w:right="796"/>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19</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285</w:t>
            </w:r>
          </w:p>
        </w:tc>
      </w:tr>
      <w:tr>
        <w:trPr>
          <w:trHeight w:val="216"/>
        </w:trPr>
        <w:tc>
          <w:tcPr>
            <w:tcW w:w="678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Long-term inventory costing adjustments </w:t>
            </w:r>
            <w:r>
              <w:rPr>
                <w:rFonts w:ascii="Arial" w:cs="Arial" w:eastAsia="Arial" w:hAnsi="Arial"/>
                <w:sz w:val="23"/>
                <w:szCs w:val="23"/>
                <w:color w:val="auto"/>
                <w:vertAlign w:val="superscript"/>
              </w:rPr>
              <w:t>(3)</w:t>
            </w:r>
          </w:p>
        </w:tc>
        <w:tc>
          <w:tcPr>
            <w:tcW w:w="15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r>
      <w:tr>
        <w:trPr>
          <w:trHeight w:val="216"/>
        </w:trPr>
        <w:tc>
          <w:tcPr>
            <w:tcW w:w="6780" w:type="dxa"/>
            <w:vAlign w:val="bottom"/>
          </w:tcPr>
          <w:p>
            <w:pPr>
              <w:spacing w:after="0" w:line="216" w:lineRule="exact"/>
              <w:rPr>
                <w:sz w:val="20"/>
                <w:szCs w:val="20"/>
                <w:color w:val="auto"/>
              </w:rPr>
            </w:pPr>
            <w:r>
              <w:rPr>
                <w:rFonts w:ascii="Arial" w:cs="Arial" w:eastAsia="Arial" w:hAnsi="Arial"/>
                <w:sz w:val="18"/>
                <w:szCs w:val="18"/>
                <w:color w:val="auto"/>
              </w:rPr>
              <w:t xml:space="preserve">Deficiencies under minimum volume commitments, net </w:t>
            </w:r>
            <w:r>
              <w:rPr>
                <w:rFonts w:ascii="Arial" w:cs="Arial" w:eastAsia="Arial" w:hAnsi="Arial"/>
                <w:sz w:val="23"/>
                <w:szCs w:val="23"/>
                <w:color w:val="auto"/>
                <w:vertAlign w:val="superscript"/>
              </w:rPr>
              <w:t>(4)</w:t>
            </w:r>
          </w:p>
        </w:tc>
        <w:tc>
          <w:tcPr>
            <w:tcW w:w="1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r>
      <w:tr>
        <w:trPr>
          <w:trHeight w:val="216"/>
        </w:trPr>
        <w:tc>
          <w:tcPr>
            <w:tcW w:w="678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Equity-indexed compensation expense </w:t>
            </w:r>
            <w:r>
              <w:rPr>
                <w:rFonts w:ascii="Arial" w:cs="Arial" w:eastAsia="Arial" w:hAnsi="Arial"/>
                <w:sz w:val="23"/>
                <w:szCs w:val="23"/>
                <w:color w:val="auto"/>
                <w:vertAlign w:val="superscript"/>
              </w:rPr>
              <w:t>(5)</w:t>
            </w:r>
          </w:p>
        </w:tc>
        <w:tc>
          <w:tcPr>
            <w:tcW w:w="15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r>
      <w:tr>
        <w:trPr>
          <w:trHeight w:val="216"/>
        </w:trPr>
        <w:tc>
          <w:tcPr>
            <w:tcW w:w="6780" w:type="dxa"/>
            <w:vAlign w:val="bottom"/>
          </w:tcPr>
          <w:p>
            <w:pPr>
              <w:spacing w:after="0" w:line="216" w:lineRule="exact"/>
              <w:rPr>
                <w:sz w:val="20"/>
                <w:szCs w:val="20"/>
                <w:color w:val="auto"/>
              </w:rPr>
            </w:pPr>
            <w:r>
              <w:rPr>
                <w:rFonts w:ascii="Arial" w:cs="Arial" w:eastAsia="Arial" w:hAnsi="Arial"/>
                <w:sz w:val="18"/>
                <w:szCs w:val="18"/>
                <w:color w:val="auto"/>
              </w:rPr>
              <w:t xml:space="preserve">Net gain/(loss) on foreign currency revaluation </w:t>
            </w:r>
            <w:r>
              <w:rPr>
                <w:rFonts w:ascii="Arial" w:cs="Arial" w:eastAsia="Arial" w:hAnsi="Arial"/>
                <w:sz w:val="23"/>
                <w:szCs w:val="23"/>
                <w:color w:val="auto"/>
                <w:vertAlign w:val="superscript"/>
              </w:rPr>
              <w:t>(6)</w:t>
            </w:r>
          </w:p>
        </w:tc>
        <w:tc>
          <w:tcPr>
            <w:tcW w:w="1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r>
      <w:tr>
        <w:trPr>
          <w:trHeight w:val="216"/>
        </w:trPr>
        <w:tc>
          <w:tcPr>
            <w:tcW w:w="678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Significant acquisition-related expenses </w:t>
            </w:r>
            <w:r>
              <w:rPr>
                <w:rFonts w:ascii="Arial" w:cs="Arial" w:eastAsia="Arial" w:hAnsi="Arial"/>
                <w:sz w:val="23"/>
                <w:szCs w:val="23"/>
                <w:color w:val="auto"/>
                <w:vertAlign w:val="superscript"/>
              </w:rPr>
              <w:t>(7)</w:t>
            </w:r>
          </w:p>
        </w:tc>
        <w:tc>
          <w:tcPr>
            <w:tcW w:w="15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r>
      <w:tr>
        <w:trPr>
          <w:trHeight w:val="210"/>
        </w:trPr>
        <w:tc>
          <w:tcPr>
            <w:tcW w:w="6780" w:type="dxa"/>
            <w:vAlign w:val="bottom"/>
          </w:tcPr>
          <w:p>
            <w:pPr>
              <w:ind w:left="180"/>
              <w:spacing w:after="0"/>
              <w:rPr>
                <w:sz w:val="20"/>
                <w:szCs w:val="20"/>
                <w:color w:val="auto"/>
              </w:rPr>
            </w:pPr>
            <w:r>
              <w:rPr>
                <w:rFonts w:ascii="Arial" w:cs="Arial" w:eastAsia="Arial" w:hAnsi="Arial"/>
                <w:sz w:val="18"/>
                <w:szCs w:val="18"/>
                <w:color w:val="auto"/>
              </w:rPr>
              <w:t>Selected items impacting comparability - Adjusted EBITDA</w:t>
            </w:r>
          </w:p>
        </w:tc>
        <w:tc>
          <w:tcPr>
            <w:tcW w:w="1520" w:type="dxa"/>
            <w:vAlign w:val="bottom"/>
          </w:tcPr>
          <w:p>
            <w:pPr>
              <w:spacing w:after="0"/>
              <w:rPr>
                <w:sz w:val="18"/>
                <w:szCs w:val="18"/>
                <w:color w:val="auto"/>
              </w:rPr>
            </w:pPr>
          </w:p>
        </w:tc>
        <w:tc>
          <w:tcPr>
            <w:tcW w:w="980" w:type="dxa"/>
            <w:vAlign w:val="bottom"/>
            <w:tcBorders>
              <w:top w:val="single" w:sz="8" w:color="auto"/>
            </w:tcBorders>
          </w:tcPr>
          <w:p>
            <w:pPr>
              <w:jc w:val="right"/>
              <w:ind w:right="796"/>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8"/>
                <w:szCs w:val="18"/>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18"/>
                <w:szCs w:val="18"/>
                <w:color w:val="auto"/>
              </w:rPr>
            </w:pPr>
          </w:p>
        </w:tc>
      </w:tr>
      <w:tr>
        <w:trPr>
          <w:trHeight w:val="216"/>
        </w:trPr>
        <w:tc>
          <w:tcPr>
            <w:tcW w:w="678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Gains from derivative activities </w:t>
            </w:r>
            <w:r>
              <w:rPr>
                <w:rFonts w:ascii="Arial" w:cs="Arial" w:eastAsia="Arial" w:hAnsi="Arial"/>
                <w:sz w:val="23"/>
                <w:szCs w:val="23"/>
                <w:color w:val="auto"/>
                <w:vertAlign w:val="superscript"/>
              </w:rPr>
              <w:t>(2)</w:t>
            </w:r>
          </w:p>
        </w:tc>
        <w:tc>
          <w:tcPr>
            <w:tcW w:w="15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Tax effect on selected items impacting comparability</w:t>
            </w:r>
          </w:p>
        </w:tc>
        <w:tc>
          <w:tcPr>
            <w:tcW w:w="1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(28)</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(42)</w:t>
            </w:r>
          </w:p>
        </w:tc>
      </w:tr>
      <w:tr>
        <w:trPr>
          <w:trHeight w:val="223"/>
        </w:trPr>
        <w:tc>
          <w:tcPr>
            <w:tcW w:w="67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Selected items impacting comparability - Adjusted net income</w:t>
            </w:r>
          </w:p>
        </w:tc>
        <w:tc>
          <w:tcPr>
            <w:tcW w:w="1520" w:type="dxa"/>
            <w:vAlign w:val="bottom"/>
            <w:tcBorders>
              <w:top w:val="single" w:sz="8" w:color="CCEEFF"/>
              <w:bottom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ind w:right="796"/>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7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205740</wp:posOffset>
            </wp:positionV>
            <wp:extent cx="177546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775460" cy="8890"/>
                    </a:xfrm>
                    <a:prstGeom prst="rect">
                      <a:avLst/>
                    </a:prstGeom>
                    <a:noFill/>
                  </pic:spPr>
                </pic:pic>
              </a:graphicData>
            </a:graphic>
          </wp:anchor>
        </w:drawing>
      </w:r>
    </w:p>
    <w:p>
      <w:pPr>
        <w:spacing w:after="0" w:line="377" w:lineRule="exact"/>
        <w:rPr>
          <w:sz w:val="20"/>
          <w:szCs w:val="20"/>
          <w:color w:val="auto"/>
        </w:rPr>
      </w:pPr>
    </w:p>
    <w:p>
      <w:pPr>
        <w:ind w:left="320" w:hanging="312"/>
        <w:spacing w:after="0"/>
        <w:tabs>
          <w:tab w:leader="none" w:pos="320"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Certain of our non-GAAP financial measures may not be impacted by each of the selected items impacting comparability.</w:t>
      </w:r>
    </w:p>
    <w:p>
      <w:pPr>
        <w:spacing w:after="0" w:line="1" w:lineRule="exact"/>
        <w:rPr>
          <w:rFonts w:ascii="Arial" w:cs="Arial" w:eastAsia="Arial" w:hAnsi="Arial"/>
          <w:sz w:val="23"/>
          <w:szCs w:val="23"/>
          <w:color w:val="auto"/>
          <w:vertAlign w:val="superscript"/>
        </w:rPr>
      </w:pPr>
    </w:p>
    <w:p>
      <w:pPr>
        <w:ind w:left="340" w:hanging="332"/>
        <w:spacing w:after="0" w:line="254" w:lineRule="auto"/>
        <w:tabs>
          <w:tab w:leader="none" w:pos="328" w:val="left"/>
        </w:tabs>
        <w:numPr>
          <w:ilvl w:val="0"/>
          <w:numId w:val="9"/>
        </w:numPr>
        <w:rPr>
          <w:rFonts w:ascii="Arial" w:cs="Arial" w:eastAsia="Arial" w:hAnsi="Arial"/>
          <w:sz w:val="22"/>
          <w:szCs w:val="22"/>
          <w:color w:val="auto"/>
          <w:vertAlign w:val="superscript"/>
        </w:rPr>
      </w:pPr>
      <w:r>
        <w:rPr>
          <w:rFonts w:ascii="Arial" w:cs="Arial" w:eastAsia="Arial" w:hAnsi="Arial"/>
          <w:sz w:val="17"/>
          <w:szCs w:val="17"/>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of operations, we identify the earnings that were recognized during the period related to derivative instruments for which the identified underlying transaction does not occur in the current period and exclude the related gains and losses in determining adjusted results. In addition, we exclude gains and losses on derivatives that are related to investing activities, such as the purchase of linefill. We also exclude the impact of corresponding inventory valuation adjustments, as applicable, as well as the mark-to-market adjustment related to our Preferred Distribution Rate Reset Option.</w:t>
      </w:r>
    </w:p>
    <w:p>
      <w:pPr>
        <w:spacing w:after="0" w:line="1" w:lineRule="exact"/>
        <w:rPr>
          <w:rFonts w:ascii="Arial" w:cs="Arial" w:eastAsia="Arial" w:hAnsi="Arial"/>
          <w:sz w:val="22"/>
          <w:szCs w:val="22"/>
          <w:color w:val="auto"/>
          <w:vertAlign w:val="superscript"/>
        </w:rPr>
      </w:pPr>
    </w:p>
    <w:p>
      <w:pPr>
        <w:ind w:left="340" w:right="180" w:hanging="332"/>
        <w:spacing w:after="0" w:line="265" w:lineRule="auto"/>
        <w:tabs>
          <w:tab w:leader="none" w:pos="328" w:val="left"/>
        </w:tabs>
        <w:numPr>
          <w:ilvl w:val="0"/>
          <w:numId w:val="9"/>
        </w:numPr>
        <w:rPr>
          <w:rFonts w:ascii="Arial" w:cs="Arial" w:eastAsia="Arial" w:hAnsi="Arial"/>
          <w:sz w:val="21"/>
          <w:szCs w:val="21"/>
          <w:color w:val="auto"/>
          <w:vertAlign w:val="superscript"/>
        </w:rPr>
      </w:pPr>
      <w:r>
        <w:rPr>
          <w:rFonts w:ascii="Arial" w:cs="Arial" w:eastAsia="Arial" w:hAnsi="Arial"/>
          <w:sz w:val="16"/>
          <w:szCs w:val="16"/>
          <w:color w:val="auto"/>
        </w:rPr>
        <w:t>We carry crude oil and NGL inventory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treat the impact of changes in the average cost of the long-term inventory (that result from fluctuations in market prices) and writedowns of such inventory that result from price declines as a selected item impacting comparability.</w:t>
      </w:r>
    </w:p>
    <w:p>
      <w:pPr>
        <w:spacing w:after="0" w:line="1" w:lineRule="exact"/>
        <w:rPr>
          <w:rFonts w:ascii="Arial" w:cs="Arial" w:eastAsia="Arial" w:hAnsi="Arial"/>
          <w:sz w:val="21"/>
          <w:szCs w:val="21"/>
          <w:color w:val="auto"/>
          <w:vertAlign w:val="superscript"/>
        </w:rPr>
      </w:pPr>
    </w:p>
    <w:p>
      <w:pPr>
        <w:ind w:left="340" w:right="20" w:hanging="332"/>
        <w:spacing w:after="0" w:line="273" w:lineRule="auto"/>
        <w:tabs>
          <w:tab w:leader="none" w:pos="328" w:val="left"/>
        </w:tabs>
        <w:numPr>
          <w:ilvl w:val="0"/>
          <w:numId w:val="9"/>
        </w:numPr>
        <w:rPr>
          <w:rFonts w:ascii="Arial" w:cs="Arial" w:eastAsia="Arial" w:hAnsi="Arial"/>
          <w:sz w:val="21"/>
          <w:szCs w:val="21"/>
          <w:color w:val="auto"/>
          <w:vertAlign w:val="superscript"/>
        </w:rPr>
      </w:pPr>
      <w:r>
        <w:rPr>
          <w:rFonts w:ascii="Arial" w:cs="Arial" w:eastAsia="Arial" w:hAnsi="Arial"/>
          <w:sz w:val="16"/>
          <w:szCs w:val="16"/>
          <w:color w:val="auto"/>
        </w:rPr>
        <w:t>We have certain agreements that require counterparties to deliver, transport or throughput a minimum volume over an agreed upon period. Substantially all of such agreements were entered into with counterparties to economically support the return on our capital expenditure necessary to construct the related asset.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as a selected item impacting comparability. We believe the inclusion of the contractually committed revenues associated with that period is meaningful to investors as the related asset has been constructed, is standing ready to provide the committed service and the fixed operating costs are included in the current period results.</w:t>
      </w:r>
    </w:p>
    <w:p>
      <w:pPr>
        <w:spacing w:after="0" w:line="2" w:lineRule="exact"/>
        <w:rPr>
          <w:rFonts w:ascii="Arial" w:cs="Arial" w:eastAsia="Arial" w:hAnsi="Arial"/>
          <w:sz w:val="21"/>
          <w:szCs w:val="21"/>
          <w:color w:val="auto"/>
          <w:vertAlign w:val="superscript"/>
        </w:rPr>
      </w:pPr>
    </w:p>
    <w:p>
      <w:pPr>
        <w:ind w:left="340" w:right="140" w:hanging="332"/>
        <w:spacing w:after="0" w:line="239" w:lineRule="auto"/>
        <w:tabs>
          <w:tab w:leader="none" w:pos="328"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Our total equity-indexed compensation expense includes expense associated with awards that will or may be settled in units and awards that will or may be settled in cash. The awards that will or may be settled in units are included in our diluted net income per unit calculation when the applicable performance criteria have been met. We consider the compensation expense associated with these awards as a selected item impacting comparability as the dilutive impact of the outstanding awards is included in our diluted net income per unit calculation and the majority of the awards are expected to be settled in units. The portion of compensation expense associated with awards that are certain to be settled in cash is not considered a selected item impacting comparability.</w:t>
      </w:r>
    </w:p>
    <w:p>
      <w:pPr>
        <w:spacing w:after="0" w:line="2" w:lineRule="exact"/>
        <w:rPr>
          <w:rFonts w:ascii="Arial" w:cs="Arial" w:eastAsia="Arial" w:hAnsi="Arial"/>
          <w:sz w:val="23"/>
          <w:szCs w:val="23"/>
          <w:color w:val="auto"/>
          <w:vertAlign w:val="superscript"/>
        </w:rPr>
      </w:pPr>
    </w:p>
    <w:p>
      <w:pPr>
        <w:ind w:left="340" w:right="380" w:hanging="332"/>
        <w:spacing w:after="0" w:line="231" w:lineRule="auto"/>
        <w:tabs>
          <w:tab w:leader="none" w:pos="328" w:val="left"/>
        </w:tabs>
        <w:numPr>
          <w:ilvl w:val="0"/>
          <w:numId w:val="9"/>
        </w:numPr>
        <w:rPr>
          <w:rFonts w:ascii="Arial" w:cs="Arial" w:eastAsia="Arial" w:hAnsi="Arial"/>
          <w:sz w:val="22"/>
          <w:szCs w:val="22"/>
          <w:color w:val="auto"/>
          <w:vertAlign w:val="superscript"/>
        </w:rPr>
      </w:pPr>
      <w:r>
        <w:rPr>
          <w:rFonts w:ascii="Arial" w:cs="Arial" w:eastAsia="Arial" w:hAnsi="Arial"/>
          <w:sz w:val="17"/>
          <w:szCs w:val="17"/>
          <w:color w:val="auto"/>
        </w:rPr>
        <w:t>During the periods presented, there were fluctuations in the value of the Canadian dollar to the U.S. dollar, resulting in gains and losses that were not related to our core operating results for the period and were thus classified as a selected item impacting comparability.</w:t>
      </w:r>
    </w:p>
    <w:p>
      <w:pPr>
        <w:ind w:left="320" w:hanging="312"/>
        <w:spacing w:after="0" w:line="196" w:lineRule="auto"/>
        <w:tabs>
          <w:tab w:leader="none" w:pos="320"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Includes acquisition-related expenses associated with the Alpha Crude Connector acquisition.</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32"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RECONCILIATIONS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and ratio data)</w:t>
      </w:r>
    </w:p>
    <w:p>
      <w:pPr>
        <w:spacing w:after="0" w:line="202" w:lineRule="exact"/>
        <w:rPr>
          <w:sz w:val="20"/>
          <w:szCs w:val="20"/>
          <w:color w:val="auto"/>
        </w:rPr>
      </w:pPr>
    </w:p>
    <w:p>
      <w:pPr>
        <w:jc w:val="center"/>
        <w:ind w:left="86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6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5561965</wp:posOffset>
            </wp:positionH>
            <wp:positionV relativeFrom="paragraph">
              <wp:posOffset>-3175</wp:posOffset>
            </wp:positionV>
            <wp:extent cx="16205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620520" cy="8890"/>
                    </a:xfrm>
                    <a:prstGeom prst="rect">
                      <a:avLst/>
                    </a:prstGeom>
                    <a:noFill/>
                  </pic:spPr>
                </pic:pic>
              </a:graphicData>
            </a:graphic>
          </wp:anchor>
        </w:drawing>
      </w:r>
    </w:p>
    <w:p>
      <w:pPr>
        <w:ind w:left="9180"/>
        <w:spacing w:after="0" w:line="235" w:lineRule="auto"/>
        <w:tabs>
          <w:tab w:leader="none" w:pos="1058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Net Income to Adjusted EBITDA and Implied DCF Reconciliation</w:t>
      </w:r>
    </w:p>
    <w:p>
      <w:pPr>
        <w:sectPr>
          <w:pgSz w:w="11900" w:h="16890" w:orient="portrait"/>
          <w:cols w:equalWidth="0" w:num="1">
            <w:col w:w="11420"/>
          </w:cols>
          <w:pgMar w:left="240" w:top="584" w:right="239" w:bottom="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0"/>
        </w:trPr>
        <w:tc>
          <w:tcPr>
            <w:tcW w:w="71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020" w:type="dxa"/>
            <w:vAlign w:val="bottom"/>
            <w:gridSpan w:val="2"/>
          </w:tcPr>
          <w:p>
            <w:pPr>
              <w:jc w:val="right"/>
              <w:ind w:right="245"/>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288</w:t>
            </w:r>
          </w:p>
        </w:tc>
        <w:tc>
          <w:tcPr>
            <w:tcW w:w="520" w:type="dxa"/>
            <w:vAlign w:val="bottom"/>
            <w:gridSpan w:val="2"/>
          </w:tcPr>
          <w:p>
            <w:pPr>
              <w:jc w:val="right"/>
              <w:ind w:right="245"/>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 net</w:t>
            </w:r>
          </w:p>
        </w:tc>
        <w:tc>
          <w:tcPr>
            <w:tcW w:w="1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106</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160"/>
              <w:spacing w:after="0"/>
              <w:rPr>
                <w:sz w:val="20"/>
                <w:szCs w:val="20"/>
                <w:color w:val="auto"/>
              </w:rPr>
            </w:pPr>
            <w:r>
              <w:rPr>
                <w:rFonts w:ascii="Arial" w:cs="Arial" w:eastAsia="Arial" w:hAnsi="Arial"/>
                <w:sz w:val="18"/>
                <w:szCs w:val="18"/>
                <w:color w:val="auto"/>
              </w:rPr>
              <w:t>Income tax expense</w:t>
            </w:r>
          </w:p>
        </w:tc>
        <w:tc>
          <w:tcPr>
            <w:tcW w:w="1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1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127</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Depreciation and amortization of unconsolidated entities </w:t>
            </w:r>
            <w:r>
              <w:rPr>
                <w:rFonts w:ascii="Arial" w:cs="Arial" w:eastAsia="Arial" w:hAnsi="Arial"/>
                <w:sz w:val="23"/>
                <w:szCs w:val="23"/>
                <w:color w:val="auto"/>
                <w:vertAlign w:val="superscript"/>
              </w:rPr>
              <w:t>(1)</w:t>
            </w:r>
          </w:p>
        </w:tc>
        <w:tc>
          <w:tcPr>
            <w:tcW w:w="1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Selected items impacting comparability - Adjusted EBITDA </w:t>
            </w:r>
            <w:r>
              <w:rPr>
                <w:rFonts w:ascii="Arial" w:cs="Arial" w:eastAsia="Arial" w:hAnsi="Arial"/>
                <w:sz w:val="23"/>
                <w:szCs w:val="23"/>
                <w:color w:val="auto"/>
                <w:vertAlign w:val="superscript"/>
              </w:rPr>
              <w:t>(2)</w:t>
            </w:r>
          </w:p>
        </w:tc>
        <w:tc>
          <w:tcPr>
            <w:tcW w:w="1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Adjusted EBITDA</w:t>
            </w:r>
          </w:p>
        </w:tc>
        <w:tc>
          <w:tcPr>
            <w:tcW w:w="1620" w:type="dxa"/>
            <w:vAlign w:val="bottom"/>
          </w:tcPr>
          <w:p>
            <w:pPr>
              <w:spacing w:after="0"/>
              <w:rPr>
                <w:sz w:val="18"/>
                <w:szCs w:val="18"/>
                <w:color w:val="auto"/>
              </w:rPr>
            </w:pPr>
          </w:p>
        </w:tc>
        <w:tc>
          <w:tcPr>
            <w:tcW w:w="400" w:type="dxa"/>
            <w:vAlign w:val="bottom"/>
            <w:tcBorders>
              <w:top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Borders>
              <w:top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Interest expense, net </w:t>
            </w:r>
            <w:r>
              <w:rPr>
                <w:rFonts w:ascii="Arial" w:cs="Arial" w:eastAsia="Arial" w:hAnsi="Arial"/>
                <w:sz w:val="23"/>
                <w:szCs w:val="23"/>
                <w:color w:val="auto"/>
                <w:vertAlign w:val="superscript"/>
              </w:rPr>
              <w:t>(3)</w:t>
            </w:r>
          </w:p>
        </w:tc>
        <w:tc>
          <w:tcPr>
            <w:tcW w:w="1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160"/>
              <w:spacing w:after="0"/>
              <w:rPr>
                <w:sz w:val="20"/>
                <w:szCs w:val="20"/>
                <w:color w:val="auto"/>
              </w:rPr>
            </w:pPr>
            <w:r>
              <w:rPr>
                <w:rFonts w:ascii="Arial" w:cs="Arial" w:eastAsia="Arial" w:hAnsi="Arial"/>
                <w:sz w:val="18"/>
                <w:szCs w:val="18"/>
                <w:color w:val="auto"/>
              </w:rPr>
              <w:t>Maintenance capital</w:t>
            </w:r>
          </w:p>
        </w:tc>
        <w:tc>
          <w:tcPr>
            <w:tcW w:w="1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income tax expense</w:t>
            </w:r>
          </w:p>
        </w:tc>
        <w:tc>
          <w:tcPr>
            <w:tcW w:w="1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Adjusted equity earnings in unconsolidated entities, net of distributions </w:t>
            </w:r>
            <w:r>
              <w:rPr>
                <w:rFonts w:ascii="Arial" w:cs="Arial" w:eastAsia="Arial" w:hAnsi="Arial"/>
                <w:sz w:val="23"/>
                <w:szCs w:val="23"/>
                <w:color w:val="auto"/>
                <w:vertAlign w:val="superscript"/>
              </w:rPr>
              <w:t>(4)</w:t>
            </w:r>
          </w:p>
        </w:tc>
        <w:tc>
          <w:tcPr>
            <w:tcW w:w="1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Distributions to noncontrolling interests </w:t>
            </w:r>
            <w:r>
              <w:rPr>
                <w:rFonts w:ascii="Arial" w:cs="Arial" w:eastAsia="Arial" w:hAnsi="Arial"/>
                <w:sz w:val="23"/>
                <w:szCs w:val="23"/>
                <w:color w:val="auto"/>
                <w:vertAlign w:val="superscript"/>
              </w:rPr>
              <w:t>(5)</w:t>
            </w:r>
          </w:p>
        </w:tc>
        <w:tc>
          <w:tcPr>
            <w:tcW w:w="1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Implied DCF</w:t>
            </w:r>
          </w:p>
        </w:tc>
        <w:tc>
          <w:tcPr>
            <w:tcW w:w="1620" w:type="dxa"/>
            <w:vAlign w:val="bottom"/>
          </w:tcPr>
          <w:p>
            <w:pPr>
              <w:spacing w:after="0"/>
              <w:rPr>
                <w:sz w:val="18"/>
                <w:szCs w:val="18"/>
                <w:color w:val="auto"/>
              </w:rPr>
            </w:pPr>
          </w:p>
        </w:tc>
        <w:tc>
          <w:tcPr>
            <w:tcW w:w="400" w:type="dxa"/>
            <w:vAlign w:val="bottom"/>
            <w:tcBorders>
              <w:top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Borders>
              <w:top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Preferred unit distributions </w:t>
            </w:r>
            <w:r>
              <w:rPr>
                <w:rFonts w:ascii="Arial" w:cs="Arial" w:eastAsia="Arial" w:hAnsi="Arial"/>
                <w:sz w:val="23"/>
                <w:szCs w:val="23"/>
                <w:color w:val="auto"/>
                <w:vertAlign w:val="superscript"/>
              </w:rPr>
              <w:t>(6)</w:t>
            </w:r>
          </w:p>
        </w:tc>
        <w:tc>
          <w:tcPr>
            <w:tcW w:w="1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Implied DCF Available to Common Unitholders</w:t>
            </w:r>
          </w:p>
        </w:tc>
        <w:tc>
          <w:tcPr>
            <w:tcW w:w="1620" w:type="dxa"/>
            <w:vAlign w:val="bottom"/>
            <w:tcBorders>
              <w:bottom w:val="single" w:sz="8" w:color="CCEEFF"/>
            </w:tcBorders>
          </w:tcPr>
          <w:p>
            <w:pPr>
              <w:spacing w:after="0"/>
              <w:rPr>
                <w:sz w:val="21"/>
                <w:szCs w:val="21"/>
                <w:color w:val="auto"/>
              </w:rPr>
            </w:pPr>
          </w:p>
        </w:tc>
        <w:tc>
          <w:tcPr>
            <w:tcW w:w="400" w:type="dxa"/>
            <w:vAlign w:val="bottom"/>
            <w:tcBorders>
              <w:top w:val="single" w:sz="8" w:color="auto"/>
              <w:bottom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443</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400" w:type="dxa"/>
            <w:vAlign w:val="bottom"/>
            <w:tcBorders>
              <w:top w:val="single" w:sz="8" w:color="auto"/>
              <w:bottom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1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tcPr>
          <w:p>
            <w:pPr>
              <w:spacing w:after="0" w:line="216" w:lineRule="exact"/>
              <w:rPr>
                <w:sz w:val="20"/>
                <w:szCs w:val="20"/>
                <w:color w:val="auto"/>
              </w:rPr>
            </w:pPr>
            <w:r>
              <w:rPr>
                <w:rFonts w:ascii="Arial" w:cs="Arial" w:eastAsia="Arial" w:hAnsi="Arial"/>
                <w:sz w:val="18"/>
                <w:szCs w:val="18"/>
                <w:color w:val="auto"/>
              </w:rPr>
              <w:t xml:space="preserve">Implied DCF per Common Unit </w:t>
            </w:r>
            <w:r>
              <w:rPr>
                <w:rFonts w:ascii="Arial" w:cs="Arial" w:eastAsia="Arial" w:hAnsi="Arial"/>
                <w:sz w:val="23"/>
                <w:szCs w:val="23"/>
                <w:color w:val="auto"/>
                <w:vertAlign w:val="superscript"/>
              </w:rPr>
              <w:t>(7)</w:t>
            </w:r>
          </w:p>
        </w:tc>
        <w:tc>
          <w:tcPr>
            <w:tcW w:w="2020" w:type="dxa"/>
            <w:vAlign w:val="bottom"/>
            <w:gridSpan w:val="2"/>
          </w:tcPr>
          <w:p>
            <w:pPr>
              <w:jc w:val="right"/>
              <w:ind w:right="245"/>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0.61</w:t>
            </w:r>
          </w:p>
        </w:tc>
        <w:tc>
          <w:tcPr>
            <w:tcW w:w="520" w:type="dxa"/>
            <w:vAlign w:val="bottom"/>
            <w:gridSpan w:val="2"/>
          </w:tcPr>
          <w:p>
            <w:pPr>
              <w:jc w:val="right"/>
              <w:ind w:right="245"/>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Implied DCF per Common Unit and Common Equivalent Unit </w:t>
            </w:r>
            <w:r>
              <w:rPr>
                <w:rFonts w:ascii="Arial" w:cs="Arial" w:eastAsia="Arial" w:hAnsi="Arial"/>
                <w:sz w:val="23"/>
                <w:szCs w:val="23"/>
                <w:color w:val="auto"/>
                <w:vertAlign w:val="superscript"/>
              </w:rPr>
              <w:t>(8)</w:t>
            </w:r>
          </w:p>
        </w:tc>
        <w:tc>
          <w:tcPr>
            <w:tcW w:w="2020" w:type="dxa"/>
            <w:vAlign w:val="bottom"/>
            <w:gridSpan w:val="2"/>
            <w:shd w:val="clear" w:color="auto" w:fill="CCEEFF"/>
          </w:tcPr>
          <w:p>
            <w:pPr>
              <w:jc w:val="right"/>
              <w:ind w:right="245"/>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0.56</w:t>
            </w:r>
          </w:p>
        </w:tc>
        <w:tc>
          <w:tcPr>
            <w:tcW w:w="520" w:type="dxa"/>
            <w:vAlign w:val="bottom"/>
            <w:gridSpan w:val="2"/>
            <w:shd w:val="clear" w:color="auto" w:fill="CCEEFF"/>
          </w:tcPr>
          <w:p>
            <w:pPr>
              <w:jc w:val="right"/>
              <w:ind w:right="245"/>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Cash Distribution Paid per Common Unit</w:t>
            </w:r>
          </w:p>
        </w:tc>
        <w:tc>
          <w:tcPr>
            <w:tcW w:w="2020" w:type="dxa"/>
            <w:vAlign w:val="bottom"/>
            <w:gridSpan w:val="2"/>
            <w:shd w:val="clear" w:color="auto" w:fill="CCEEFF"/>
          </w:tcPr>
          <w:p>
            <w:pPr>
              <w:jc w:val="right"/>
              <w:ind w:right="245"/>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0.30</w:t>
            </w:r>
          </w:p>
        </w:tc>
        <w:tc>
          <w:tcPr>
            <w:tcW w:w="520" w:type="dxa"/>
            <w:vAlign w:val="bottom"/>
            <w:gridSpan w:val="2"/>
            <w:shd w:val="clear" w:color="auto" w:fill="CCEEFF"/>
          </w:tcPr>
          <w:p>
            <w:pPr>
              <w:jc w:val="right"/>
              <w:ind w:right="245"/>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line="216" w:lineRule="exact"/>
              <w:rPr>
                <w:sz w:val="20"/>
                <w:szCs w:val="20"/>
                <w:color w:val="auto"/>
              </w:rPr>
            </w:pPr>
            <w:r>
              <w:rPr>
                <w:rFonts w:ascii="Arial" w:cs="Arial" w:eastAsia="Arial" w:hAnsi="Arial"/>
                <w:sz w:val="18"/>
                <w:szCs w:val="18"/>
                <w:color w:val="auto"/>
              </w:rPr>
              <w:t xml:space="preserve">Common Unit Cash Distributions </w:t>
            </w:r>
            <w:r>
              <w:rPr>
                <w:rFonts w:ascii="Arial" w:cs="Arial" w:eastAsia="Arial" w:hAnsi="Arial"/>
                <w:sz w:val="23"/>
                <w:szCs w:val="23"/>
                <w:color w:val="auto"/>
                <w:vertAlign w:val="superscript"/>
              </w:rPr>
              <w:t>(5)</w:t>
            </w:r>
          </w:p>
        </w:tc>
        <w:tc>
          <w:tcPr>
            <w:tcW w:w="2020" w:type="dxa"/>
            <w:vAlign w:val="bottom"/>
            <w:gridSpan w:val="2"/>
          </w:tcPr>
          <w:p>
            <w:pPr>
              <w:jc w:val="right"/>
              <w:ind w:right="245"/>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218</w:t>
            </w:r>
          </w:p>
        </w:tc>
        <w:tc>
          <w:tcPr>
            <w:tcW w:w="520" w:type="dxa"/>
            <w:vAlign w:val="bottom"/>
            <w:gridSpan w:val="2"/>
          </w:tcPr>
          <w:p>
            <w:pPr>
              <w:jc w:val="right"/>
              <w:ind w:right="245"/>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Common Unit Distribution Coverage Ratio</w:t>
            </w:r>
          </w:p>
        </w:tc>
        <w:tc>
          <w:tcPr>
            <w:tcW w:w="1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2.03x</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0.81x</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Implied DCF Excess / (Shortage)</w:t>
            </w:r>
          </w:p>
        </w:tc>
        <w:tc>
          <w:tcPr>
            <w:tcW w:w="2020" w:type="dxa"/>
            <w:vAlign w:val="bottom"/>
            <w:gridSpan w:val="2"/>
            <w:shd w:val="clear" w:color="auto" w:fill="CCEEFF"/>
          </w:tcPr>
          <w:p>
            <w:pPr>
              <w:jc w:val="right"/>
              <w:ind w:right="245"/>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225</w:t>
            </w:r>
          </w:p>
        </w:tc>
        <w:tc>
          <w:tcPr>
            <w:tcW w:w="520" w:type="dxa"/>
            <w:vAlign w:val="bottom"/>
            <w:gridSpan w:val="2"/>
            <w:shd w:val="clear" w:color="auto" w:fill="CCEEFF"/>
          </w:tcPr>
          <w:p>
            <w:pPr>
              <w:jc w:val="right"/>
              <w:ind w:right="245"/>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100" w:hanging="332"/>
        <w:spacing w:after="0" w:line="227" w:lineRule="auto"/>
        <w:tabs>
          <w:tab w:leader="none" w:pos="328"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Adjustment to add back our proportionate share of depreciation and amortization expense and gains or losses on significant asset sales of unconsolidated entities.</w:t>
      </w:r>
    </w:p>
    <w:p>
      <w:pPr>
        <w:ind w:left="320" w:hanging="312"/>
        <w:spacing w:after="0" w:line="196" w:lineRule="auto"/>
        <w:tabs>
          <w:tab w:leader="none" w:pos="320"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Certain of our non-GAAP financial measures may not be impacted by each of the selected items impacting comparability.</w:t>
      </w:r>
    </w:p>
    <w:p>
      <w:pPr>
        <w:spacing w:after="0" w:line="1" w:lineRule="exact"/>
        <w:rPr>
          <w:rFonts w:ascii="Arial" w:cs="Arial" w:eastAsia="Arial" w:hAnsi="Arial"/>
          <w:sz w:val="23"/>
          <w:szCs w:val="23"/>
          <w:color w:val="auto"/>
          <w:vertAlign w:val="superscript"/>
        </w:rPr>
      </w:pPr>
    </w:p>
    <w:p>
      <w:pPr>
        <w:ind w:left="320" w:hanging="312"/>
        <w:spacing w:after="0" w:line="203" w:lineRule="auto"/>
        <w:tabs>
          <w:tab w:leader="none" w:pos="320" w:val="left"/>
        </w:tabs>
        <w:numPr>
          <w:ilvl w:val="0"/>
          <w:numId w:val="10"/>
        </w:numPr>
        <w:rPr>
          <w:rFonts w:ascii="Arial" w:cs="Arial" w:eastAsia="Arial" w:hAnsi="Arial"/>
          <w:sz w:val="22"/>
          <w:szCs w:val="22"/>
          <w:color w:val="auto"/>
          <w:vertAlign w:val="superscript"/>
        </w:rPr>
      </w:pPr>
      <w:r>
        <w:rPr>
          <w:rFonts w:ascii="Arial" w:cs="Arial" w:eastAsia="Arial" w:hAnsi="Arial"/>
          <w:sz w:val="17"/>
          <w:szCs w:val="17"/>
          <w:color w:val="auto"/>
        </w:rPr>
        <w:t>Excludes certain non-cash items impacting interest expense such as amortization of debt issuance costs and terminated interest rate swaps.</w:t>
      </w:r>
    </w:p>
    <w:p>
      <w:pPr>
        <w:spacing w:after="0" w:line="2" w:lineRule="exact"/>
        <w:rPr>
          <w:rFonts w:ascii="Arial" w:cs="Arial" w:eastAsia="Arial" w:hAnsi="Arial"/>
          <w:sz w:val="22"/>
          <w:szCs w:val="22"/>
          <w:color w:val="auto"/>
          <w:vertAlign w:val="superscript"/>
        </w:rPr>
      </w:pPr>
    </w:p>
    <w:p>
      <w:pPr>
        <w:ind w:left="340" w:right="780" w:hanging="332"/>
        <w:spacing w:after="0" w:line="219" w:lineRule="auto"/>
        <w:tabs>
          <w:tab w:leader="none" w:pos="328"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Represents the difference between non-cash equity earnings in unconsolidated entities (adjusted for our proportionate share of depreciation and amortization and gains or losses on significant asset sales) and cash distributions received from such entities.</w:t>
      </w:r>
    </w:p>
    <w:p>
      <w:pPr>
        <w:ind w:left="320" w:hanging="312"/>
        <w:spacing w:after="0" w:line="196" w:lineRule="auto"/>
        <w:tabs>
          <w:tab w:leader="none" w:pos="320"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Cash distributions paid during the period presented.</w:t>
      </w:r>
    </w:p>
    <w:p>
      <w:pPr>
        <w:spacing w:after="0" w:line="1" w:lineRule="exact"/>
        <w:rPr>
          <w:rFonts w:ascii="Arial" w:cs="Arial" w:eastAsia="Arial" w:hAnsi="Arial"/>
          <w:sz w:val="23"/>
          <w:szCs w:val="23"/>
          <w:color w:val="auto"/>
          <w:vertAlign w:val="superscript"/>
        </w:rPr>
      </w:pPr>
    </w:p>
    <w:p>
      <w:pPr>
        <w:ind w:left="340" w:right="100" w:hanging="332"/>
        <w:spacing w:after="0" w:line="236" w:lineRule="auto"/>
        <w:tabs>
          <w:tab w:leader="none" w:pos="328"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No cash distributions were paid to our preferred unitholders during the periods presented. The current $0.5250 quarterly ($2.10 annualized) per unit distribution requirement of our Series A preferred units was paid-in-kind for each quarterly distribution since their issuance through February 2018. Distributions on our Series A preferred units will be paid in cash beginning with the May 2018 quarterly distribution. The current $61.25 per unit annual distribution requirement of our Series B preferred units, which were issued in October 2017, is payable semi-annually in arrears on May 15 and November 15.</w:t>
      </w:r>
    </w:p>
    <w:p>
      <w:pPr>
        <w:spacing w:after="0" w:line="4" w:lineRule="exact"/>
        <w:rPr>
          <w:rFonts w:ascii="Arial" w:cs="Arial" w:eastAsia="Arial" w:hAnsi="Arial"/>
          <w:sz w:val="23"/>
          <w:szCs w:val="23"/>
          <w:color w:val="auto"/>
          <w:vertAlign w:val="superscript"/>
        </w:rPr>
      </w:pPr>
    </w:p>
    <w:p>
      <w:pPr>
        <w:ind w:left="340" w:right="160" w:hanging="332"/>
        <w:spacing w:after="0" w:line="219" w:lineRule="auto"/>
        <w:tabs>
          <w:tab w:leader="none" w:pos="328"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Implied DCF Available to Common Unitholders for the period divided by the weighted average common units outstanding for the period of 725 million and 691 million, respectively.</w:t>
      </w:r>
    </w:p>
    <w:p>
      <w:pPr>
        <w:spacing w:after="0" w:line="1" w:lineRule="exact"/>
        <w:rPr>
          <w:rFonts w:ascii="Arial" w:cs="Arial" w:eastAsia="Arial" w:hAnsi="Arial"/>
          <w:sz w:val="23"/>
          <w:szCs w:val="23"/>
          <w:color w:val="auto"/>
          <w:vertAlign w:val="superscript"/>
        </w:rPr>
      </w:pPr>
    </w:p>
    <w:p>
      <w:pPr>
        <w:ind w:left="340" w:right="160" w:hanging="332"/>
        <w:spacing w:after="0" w:line="234" w:lineRule="auto"/>
        <w:tabs>
          <w:tab w:leader="none" w:pos="328"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Implied DCF Available to Common Unitholders for the period, adjusted for Series A preferred unit cash distributions paid (if any), divided by the weighted average common units and common equivalent units outstanding for the periods of 796 million and 756 million, respectively. Our Series A preferred units are convertible into common units, generally on a one-for-one basis and subject to customary anti-dilution adjustments, at any time after January 28, 2018, in whole or in part, subject to certain minimum conversion amounts.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RECONCILIATIONS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data)</w:t>
      </w:r>
    </w:p>
    <w:p>
      <w:pPr>
        <w:spacing w:after="0" w:line="202" w:lineRule="exact"/>
        <w:rPr>
          <w:sz w:val="20"/>
          <w:szCs w:val="20"/>
          <w:color w:val="auto"/>
        </w:rPr>
      </w:pPr>
    </w:p>
    <w:p>
      <w:pPr>
        <w:jc w:val="center"/>
        <w:ind w:left="8660"/>
        <w:spacing w:after="0"/>
        <w:rPr>
          <w:sz w:val="20"/>
          <w:szCs w:val="20"/>
          <w:color w:val="auto"/>
        </w:rPr>
      </w:pPr>
      <w:r>
        <w:rPr>
          <w:rFonts w:ascii="Arial" w:cs="Arial" w:eastAsia="Arial" w:hAnsi="Arial"/>
          <w:sz w:val="14"/>
          <w:szCs w:val="14"/>
          <w:b w:val="1"/>
          <w:bCs w:val="1"/>
          <w:color w:val="auto"/>
        </w:rPr>
        <w:t>Three Months Ended</w:t>
      </w:r>
    </w:p>
    <w:p>
      <w:pPr>
        <w:jc w:val="center"/>
        <w:ind w:left="866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8060" w:type="dxa"/>
            <w:vAlign w:val="bottom"/>
            <w:tcBorders>
              <w:bottom w:val="single" w:sz="8" w:color="CCEEFF"/>
            </w:tcBorders>
          </w:tcPr>
          <w:p>
            <w:pPr>
              <w:spacing w:after="0"/>
              <w:rPr>
                <w:sz w:val="12"/>
                <w:szCs w:val="12"/>
                <w:color w:val="auto"/>
              </w:rPr>
            </w:pPr>
          </w:p>
        </w:tc>
        <w:tc>
          <w:tcPr>
            <w:tcW w:w="68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38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53"/>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060" w:type="dxa"/>
            <w:vAlign w:val="bottom"/>
            <w:shd w:val="clear" w:color="auto" w:fill="CCEEFF"/>
          </w:tcPr>
          <w:p>
            <w:pPr>
              <w:spacing w:after="0" w:line="178" w:lineRule="exact"/>
              <w:rPr>
                <w:sz w:val="20"/>
                <w:szCs w:val="20"/>
                <w:color w:val="auto"/>
              </w:rPr>
            </w:pPr>
            <w:r>
              <w:rPr>
                <w:rFonts w:ascii="Arial" w:cs="Arial" w:eastAsia="Arial" w:hAnsi="Arial"/>
                <w:sz w:val="18"/>
                <w:szCs w:val="18"/>
                <w:b w:val="1"/>
                <w:bCs w:val="1"/>
                <w:color w:val="auto"/>
              </w:rPr>
              <w:t>Net Income Per Common Unit to Implied DCF Per Common Unit and Common Equivalent Unit</w:t>
            </w:r>
          </w:p>
        </w:tc>
        <w:tc>
          <w:tcPr>
            <w:tcW w:w="6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Reconciliation</w:t>
            </w:r>
          </w:p>
        </w:tc>
        <w:tc>
          <w:tcPr>
            <w:tcW w:w="6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Basic net income per common unit</w:t>
            </w:r>
          </w:p>
        </w:tc>
        <w:tc>
          <w:tcPr>
            <w:tcW w:w="1440" w:type="dxa"/>
            <w:vAlign w:val="bottom"/>
            <w:gridSpan w:val="2"/>
          </w:tcPr>
          <w:p>
            <w:pPr>
              <w:jc w:val="right"/>
              <w:ind w:right="606"/>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0.33</w:t>
            </w:r>
          </w:p>
        </w:tc>
        <w:tc>
          <w:tcPr>
            <w:tcW w:w="260" w:type="dxa"/>
            <w:vAlign w:val="bottom"/>
            <w:gridSpan w:val="2"/>
          </w:tcPr>
          <w:p>
            <w:pPr>
              <w:jc w:val="right"/>
              <w:ind w:right="130"/>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0.59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Reconciling items per common unit </w:t>
            </w:r>
            <w:r>
              <w:rPr>
                <w:rFonts w:ascii="Arial" w:cs="Arial" w:eastAsia="Arial" w:hAnsi="Arial"/>
                <w:sz w:val="23"/>
                <w:szCs w:val="23"/>
                <w:color w:val="auto"/>
                <w:vertAlign w:val="superscript"/>
              </w:rPr>
              <w:t>(1) (2)</w:t>
            </w:r>
          </w:p>
        </w:tc>
        <w:tc>
          <w:tcPr>
            <w:tcW w:w="6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0.28</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Implied DCF per common unit</w:t>
            </w:r>
          </w:p>
        </w:tc>
        <w:tc>
          <w:tcPr>
            <w:tcW w:w="680" w:type="dxa"/>
            <w:vAlign w:val="bottom"/>
            <w:tcBorders>
              <w:bottom w:val="single" w:sz="8" w:color="CCEEFF"/>
            </w:tcBorders>
          </w:tcPr>
          <w:p>
            <w:pPr>
              <w:spacing w:after="0"/>
              <w:rPr>
                <w:sz w:val="21"/>
                <w:szCs w:val="21"/>
                <w:color w:val="auto"/>
              </w:rPr>
            </w:pPr>
          </w:p>
        </w:tc>
        <w:tc>
          <w:tcPr>
            <w:tcW w:w="760" w:type="dxa"/>
            <w:vAlign w:val="bottom"/>
            <w:tcBorders>
              <w:top w:val="single" w:sz="8" w:color="auto"/>
              <w:bottom w:val="single" w:sz="8" w:color="auto"/>
            </w:tcBorders>
          </w:tcPr>
          <w:p>
            <w:pPr>
              <w:jc w:val="right"/>
              <w:ind w:right="606"/>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0.61</w:t>
            </w:r>
          </w:p>
        </w:tc>
        <w:tc>
          <w:tcPr>
            <w:tcW w:w="2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0.44</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0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Basic net income per common unit</w:t>
            </w:r>
          </w:p>
        </w:tc>
        <w:tc>
          <w:tcPr>
            <w:tcW w:w="1440" w:type="dxa"/>
            <w:vAlign w:val="bottom"/>
            <w:gridSpan w:val="2"/>
          </w:tcPr>
          <w:p>
            <w:pPr>
              <w:jc w:val="right"/>
              <w:ind w:right="606"/>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0.33</w:t>
            </w:r>
          </w:p>
        </w:tc>
        <w:tc>
          <w:tcPr>
            <w:tcW w:w="260" w:type="dxa"/>
            <w:vAlign w:val="bottom"/>
            <w:gridSpan w:val="2"/>
          </w:tcPr>
          <w:p>
            <w:pPr>
              <w:jc w:val="right"/>
              <w:ind w:right="130"/>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0.59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Reconciling items per common unit and common equivalent unit </w:t>
            </w:r>
            <w:r>
              <w:rPr>
                <w:rFonts w:ascii="Arial" w:cs="Arial" w:eastAsia="Arial" w:hAnsi="Arial"/>
                <w:sz w:val="23"/>
                <w:szCs w:val="23"/>
                <w:color w:val="auto"/>
                <w:vertAlign w:val="superscript"/>
              </w:rPr>
              <w:t>(1) (3)</w:t>
            </w:r>
          </w:p>
        </w:tc>
        <w:tc>
          <w:tcPr>
            <w:tcW w:w="6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0.23</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Implied DCF per common unit and common equivalent unit</w:t>
            </w:r>
          </w:p>
        </w:tc>
        <w:tc>
          <w:tcPr>
            <w:tcW w:w="68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ind w:right="606"/>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0.56</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205740</wp:posOffset>
            </wp:positionV>
            <wp:extent cx="177546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775460"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460" w:hanging="332"/>
        <w:spacing w:after="0" w:line="227" w:lineRule="auto"/>
        <w:tabs>
          <w:tab w:leader="none" w:pos="328" w:val="left"/>
        </w:tabs>
        <w:numPr>
          <w:ilvl w:val="0"/>
          <w:numId w:val="11"/>
        </w:numPr>
        <w:rPr>
          <w:rFonts w:ascii="Arial" w:cs="Arial" w:eastAsia="Arial" w:hAnsi="Arial"/>
          <w:sz w:val="23"/>
          <w:szCs w:val="23"/>
          <w:color w:val="auto"/>
          <w:vertAlign w:val="superscript"/>
        </w:rPr>
      </w:pPr>
      <w:r>
        <w:rPr>
          <w:rFonts w:ascii="Arial" w:cs="Arial" w:eastAsia="Arial" w:hAnsi="Arial"/>
          <w:sz w:val="18"/>
          <w:szCs w:val="18"/>
          <w:color w:val="auto"/>
        </w:rPr>
        <w:t>Represents adjustments to Net Income to calculate Implied DCF Available to Common Unitholders. See the “Net Income to Adjusted EBITDA and Implied DCF Reconciliation” table for additional information.</w:t>
      </w:r>
    </w:p>
    <w:p>
      <w:pPr>
        <w:sectPr>
          <w:pgSz w:w="11900" w:h="16838" w:orient="portrait"/>
          <w:cols w:equalWidth="0" w:num="1">
            <w:col w:w="11420"/>
          </w:cols>
          <w:pgMar w:left="240" w:top="125" w:right="239" w:bottom="0" w:gutter="0" w:footer="0" w:header="0"/>
        </w:sectPr>
      </w:pPr>
    </w:p>
    <w:bookmarkStart w:id="12" w:name="page13"/>
    <w:bookmarkEnd w:id="12"/>
    <w:p>
      <w:pPr>
        <w:spacing w:after="0" w:line="62" w:lineRule="exact"/>
        <w:rPr>
          <w:sz w:val="20"/>
          <w:szCs w:val="20"/>
          <w:color w:val="auto"/>
        </w:rPr>
      </w:pPr>
    </w:p>
    <w:p>
      <w:pPr>
        <w:ind w:left="320" w:hanging="312"/>
        <w:spacing w:after="0"/>
        <w:tabs>
          <w:tab w:leader="none" w:pos="320" w:val="left"/>
        </w:tabs>
        <w:numPr>
          <w:ilvl w:val="0"/>
          <w:numId w:val="12"/>
        </w:numPr>
        <w:rPr>
          <w:rFonts w:ascii="Arial" w:cs="Arial" w:eastAsia="Arial" w:hAnsi="Arial"/>
          <w:sz w:val="23"/>
          <w:szCs w:val="23"/>
          <w:color w:val="auto"/>
          <w:vertAlign w:val="superscript"/>
        </w:rPr>
      </w:pPr>
      <w:r>
        <w:rPr>
          <w:rFonts w:ascii="Arial" w:cs="Arial" w:eastAsia="Arial" w:hAnsi="Arial"/>
          <w:sz w:val="18"/>
          <w:szCs w:val="18"/>
          <w:color w:val="auto"/>
        </w:rPr>
        <w:t>Based on weighted average common units outstanding for the period of 725 million and 691 million, respectively.</w:t>
      </w:r>
    </w:p>
    <w:p>
      <w:pPr>
        <w:spacing w:after="0" w:line="1" w:lineRule="exact"/>
        <w:rPr>
          <w:rFonts w:ascii="Arial" w:cs="Arial" w:eastAsia="Arial" w:hAnsi="Arial"/>
          <w:sz w:val="23"/>
          <w:szCs w:val="23"/>
          <w:color w:val="auto"/>
          <w:vertAlign w:val="superscript"/>
        </w:rPr>
      </w:pPr>
    </w:p>
    <w:p>
      <w:pPr>
        <w:ind w:left="340" w:right="200" w:hanging="332"/>
        <w:spacing w:after="0" w:line="219" w:lineRule="auto"/>
        <w:tabs>
          <w:tab w:leader="none" w:pos="328" w:val="left"/>
        </w:tabs>
        <w:numPr>
          <w:ilvl w:val="0"/>
          <w:numId w:val="12"/>
        </w:numPr>
        <w:rPr>
          <w:rFonts w:ascii="Arial" w:cs="Arial" w:eastAsia="Arial" w:hAnsi="Arial"/>
          <w:sz w:val="23"/>
          <w:szCs w:val="23"/>
          <w:color w:val="auto"/>
          <w:vertAlign w:val="superscript"/>
        </w:rPr>
      </w:pPr>
      <w:r>
        <w:rPr>
          <w:rFonts w:ascii="Arial" w:cs="Arial" w:eastAsia="Arial" w:hAnsi="Arial"/>
          <w:sz w:val="18"/>
          <w:szCs w:val="18"/>
          <w:color w:val="auto"/>
        </w:rPr>
        <w:t>Based on weighted average common units outstanding for the period, as well as weighted average Series A preferred units outstanding for the period of approximately 71 million and 65 million, respectively.</w:t>
      </w:r>
    </w:p>
    <w:p>
      <w:pPr>
        <w:spacing w:after="0" w:line="194" w:lineRule="exact"/>
        <w:rPr>
          <w:sz w:val="20"/>
          <w:szCs w:val="20"/>
          <w:color w:val="auto"/>
        </w:rPr>
      </w:pPr>
    </w:p>
    <w:p>
      <w:pPr>
        <w:jc w:val="center"/>
        <w:ind w:left="8660"/>
        <w:spacing w:after="0"/>
        <w:rPr>
          <w:sz w:val="20"/>
          <w:szCs w:val="20"/>
          <w:color w:val="auto"/>
        </w:rPr>
      </w:pPr>
      <w:r>
        <w:rPr>
          <w:rFonts w:ascii="Arial" w:cs="Arial" w:eastAsia="Arial" w:hAnsi="Arial"/>
          <w:sz w:val="14"/>
          <w:szCs w:val="14"/>
          <w:b w:val="1"/>
          <w:bCs w:val="1"/>
          <w:color w:val="auto"/>
        </w:rPr>
        <w:t>Three Months Ended</w:t>
      </w:r>
    </w:p>
    <w:p>
      <w:pPr>
        <w:jc w:val="center"/>
        <w:ind w:left="866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760" w:type="dxa"/>
            <w:vAlign w:val="bottom"/>
            <w:tcBorders>
              <w:bottom w:val="single" w:sz="8" w:color="CCEEFF"/>
            </w:tcBorders>
          </w:tcPr>
          <w:p>
            <w:pPr>
              <w:spacing w:after="0"/>
              <w:rPr>
                <w:sz w:val="12"/>
                <w:szCs w:val="12"/>
                <w:color w:val="auto"/>
              </w:rPr>
            </w:pPr>
          </w:p>
        </w:tc>
        <w:tc>
          <w:tcPr>
            <w:tcW w:w="98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38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53"/>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Income Per Common Unit to Adjusted Net Income Per Common Unit Reconciliation</w:t>
            </w:r>
          </w:p>
        </w:tc>
        <w:tc>
          <w:tcPr>
            <w:tcW w:w="9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Basic net income per common unit</w:t>
            </w:r>
          </w:p>
        </w:tc>
        <w:tc>
          <w:tcPr>
            <w:tcW w:w="1740" w:type="dxa"/>
            <w:vAlign w:val="bottom"/>
            <w:gridSpan w:val="2"/>
          </w:tcPr>
          <w:p>
            <w:pPr>
              <w:jc w:val="right"/>
              <w:ind w:right="606"/>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0.33</w:t>
            </w:r>
          </w:p>
        </w:tc>
        <w:tc>
          <w:tcPr>
            <w:tcW w:w="260" w:type="dxa"/>
            <w:vAlign w:val="bottom"/>
            <w:gridSpan w:val="2"/>
          </w:tcPr>
          <w:p>
            <w:pPr>
              <w:jc w:val="right"/>
              <w:ind w:right="130"/>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0.59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Selected items impacting comparability per common unit </w:t>
            </w:r>
            <w:r>
              <w:rPr>
                <w:rFonts w:ascii="Arial" w:cs="Arial" w:eastAsia="Arial" w:hAnsi="Arial"/>
                <w:sz w:val="23"/>
                <w:szCs w:val="23"/>
                <w:color w:val="auto"/>
                <w:vertAlign w:val="superscript"/>
              </w:rPr>
              <w:t>(1)</w:t>
            </w:r>
          </w:p>
        </w:tc>
        <w:tc>
          <w:tcPr>
            <w:tcW w:w="9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0.03</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Basic adjusted net income per common unit</w:t>
            </w:r>
          </w:p>
        </w:tc>
        <w:tc>
          <w:tcPr>
            <w:tcW w:w="980" w:type="dxa"/>
            <w:vAlign w:val="bottom"/>
            <w:tcBorders>
              <w:bottom w:val="single" w:sz="8" w:color="CCEEFF"/>
            </w:tcBorders>
          </w:tcPr>
          <w:p>
            <w:pPr>
              <w:spacing w:after="0"/>
              <w:rPr>
                <w:sz w:val="21"/>
                <w:szCs w:val="21"/>
                <w:color w:val="auto"/>
              </w:rPr>
            </w:pPr>
          </w:p>
        </w:tc>
        <w:tc>
          <w:tcPr>
            <w:tcW w:w="760" w:type="dxa"/>
            <w:vAlign w:val="bottom"/>
            <w:tcBorders>
              <w:top w:val="single" w:sz="8" w:color="auto"/>
              <w:bottom w:val="single" w:sz="8" w:color="auto"/>
            </w:tcBorders>
          </w:tcPr>
          <w:p>
            <w:pPr>
              <w:jc w:val="right"/>
              <w:ind w:right="606"/>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0.36</w:t>
            </w:r>
          </w:p>
        </w:tc>
        <w:tc>
          <w:tcPr>
            <w:tcW w:w="2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0.27</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7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Diluted net income per common unit</w:t>
            </w:r>
          </w:p>
        </w:tc>
        <w:tc>
          <w:tcPr>
            <w:tcW w:w="1740" w:type="dxa"/>
            <w:vAlign w:val="bottom"/>
            <w:gridSpan w:val="2"/>
          </w:tcPr>
          <w:p>
            <w:pPr>
              <w:jc w:val="right"/>
              <w:ind w:right="606"/>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0.33</w:t>
            </w:r>
          </w:p>
        </w:tc>
        <w:tc>
          <w:tcPr>
            <w:tcW w:w="260" w:type="dxa"/>
            <w:vAlign w:val="bottom"/>
            <w:gridSpan w:val="2"/>
          </w:tcPr>
          <w:p>
            <w:pPr>
              <w:jc w:val="right"/>
              <w:ind w:right="130"/>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0.58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Selected items impacting comparability per common unit </w:t>
            </w:r>
            <w:r>
              <w:rPr>
                <w:rFonts w:ascii="Arial" w:cs="Arial" w:eastAsia="Arial" w:hAnsi="Arial"/>
                <w:sz w:val="23"/>
                <w:szCs w:val="23"/>
                <w:color w:val="auto"/>
                <w:vertAlign w:val="superscript"/>
              </w:rPr>
              <w:t>(1)</w:t>
            </w:r>
          </w:p>
        </w:tc>
        <w:tc>
          <w:tcPr>
            <w:tcW w:w="9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0.03</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Diluted adjusted net income per common unit</w:t>
            </w:r>
          </w:p>
        </w:tc>
        <w:tc>
          <w:tcPr>
            <w:tcW w:w="98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ind w:right="606"/>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0.36</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0.27</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540" w:hanging="332"/>
        <w:spacing w:after="0" w:line="227" w:lineRule="auto"/>
        <w:tabs>
          <w:tab w:leader="none" w:pos="328" w:val="left"/>
        </w:tabs>
        <w:numPr>
          <w:ilvl w:val="0"/>
          <w:numId w:val="13"/>
        </w:numPr>
        <w:rPr>
          <w:rFonts w:ascii="Arial" w:cs="Arial" w:eastAsia="Arial" w:hAnsi="Arial"/>
          <w:sz w:val="23"/>
          <w:szCs w:val="23"/>
          <w:color w:val="auto"/>
          <w:vertAlign w:val="superscript"/>
        </w:rPr>
      </w:pPr>
      <w:r>
        <w:rPr>
          <w:rFonts w:ascii="Arial" w:cs="Arial" w:eastAsia="Arial" w:hAnsi="Arial"/>
          <w:sz w:val="18"/>
          <w:szCs w:val="18"/>
          <w:color w:val="auto"/>
        </w:rPr>
        <w:t>See the “Selected Items Impacting Comparability” and the “Computation of Basic and Diluted Adjusted Net Income Per Common Unit” tables for additional information.</w:t>
      </w:r>
    </w:p>
    <w:p>
      <w:pPr>
        <w:spacing w:after="0" w:line="194" w:lineRule="exact"/>
        <w:rPr>
          <w:sz w:val="20"/>
          <w:szCs w:val="20"/>
          <w:color w:val="auto"/>
        </w:rPr>
      </w:pPr>
    </w:p>
    <w:p>
      <w:pPr>
        <w:jc w:val="center"/>
        <w:ind w:left="8660"/>
        <w:spacing w:after="0"/>
        <w:rPr>
          <w:sz w:val="20"/>
          <w:szCs w:val="20"/>
          <w:color w:val="auto"/>
        </w:rPr>
      </w:pPr>
      <w:r>
        <w:rPr>
          <w:rFonts w:ascii="Arial" w:cs="Arial" w:eastAsia="Arial" w:hAnsi="Arial"/>
          <w:sz w:val="14"/>
          <w:szCs w:val="14"/>
          <w:b w:val="1"/>
          <w:bCs w:val="1"/>
          <w:color w:val="auto"/>
        </w:rPr>
        <w:t>Three Months Ended</w:t>
      </w:r>
    </w:p>
    <w:p>
      <w:pPr>
        <w:jc w:val="center"/>
        <w:ind w:left="866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7280" w:type="dxa"/>
            <w:vAlign w:val="bottom"/>
            <w:tcBorders>
              <w:bottom w:val="single" w:sz="8" w:color="CCEEFF"/>
            </w:tcBorders>
          </w:tcPr>
          <w:p>
            <w:pPr>
              <w:spacing w:after="0"/>
              <w:rPr>
                <w:sz w:val="12"/>
                <w:szCs w:val="12"/>
                <w:color w:val="auto"/>
              </w:rPr>
            </w:pPr>
          </w:p>
        </w:tc>
        <w:tc>
          <w:tcPr>
            <w:tcW w:w="148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36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53"/>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2"/>
                <w:szCs w:val="12"/>
                <w:color w:val="auto"/>
              </w:rPr>
            </w:pPr>
          </w:p>
        </w:tc>
      </w:tr>
      <w:tr>
        <w:trPr>
          <w:trHeight w:val="196"/>
        </w:trPr>
        <w:tc>
          <w:tcPr>
            <w:tcW w:w="72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Fee-based Segment Adjusted EBITDA to Adjusted EBITDA Reconciliation</w:t>
            </w:r>
          </w:p>
        </w:tc>
        <w:tc>
          <w:tcPr>
            <w:tcW w:w="14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Transportation segment adjusted EBITDA</w:t>
            </w:r>
          </w:p>
        </w:tc>
        <w:tc>
          <w:tcPr>
            <w:tcW w:w="2260" w:type="dxa"/>
            <w:vAlign w:val="bottom"/>
            <w:gridSpan w:val="2"/>
          </w:tcPr>
          <w:p>
            <w:pPr>
              <w:jc w:val="right"/>
              <w:ind w:right="626"/>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335</w:t>
            </w:r>
          </w:p>
        </w:tc>
        <w:tc>
          <w:tcPr>
            <w:tcW w:w="40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273</w:t>
            </w: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Facilities segment adjusted EBITDA</w:t>
            </w:r>
          </w:p>
        </w:tc>
        <w:tc>
          <w:tcPr>
            <w:tcW w:w="14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185</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w:t>
            </w:r>
          </w:p>
        </w:tc>
      </w:tr>
      <w:tr>
        <w:trPr>
          <w:trHeight w:val="210"/>
        </w:trPr>
        <w:tc>
          <w:tcPr>
            <w:tcW w:w="7280" w:type="dxa"/>
            <w:vAlign w:val="bottom"/>
          </w:tcPr>
          <w:p>
            <w:pPr>
              <w:ind w:left="180"/>
              <w:spacing w:after="0"/>
              <w:rPr>
                <w:sz w:val="20"/>
                <w:szCs w:val="20"/>
                <w:color w:val="auto"/>
              </w:rPr>
            </w:pPr>
            <w:r>
              <w:rPr>
                <w:rFonts w:ascii="Arial" w:cs="Arial" w:eastAsia="Arial" w:hAnsi="Arial"/>
                <w:sz w:val="18"/>
                <w:szCs w:val="18"/>
                <w:color w:val="auto"/>
              </w:rPr>
              <w:t>Fee-based segment adjusted EBITDA</w:t>
            </w:r>
          </w:p>
        </w:tc>
        <w:tc>
          <w:tcPr>
            <w:tcW w:w="1480" w:type="dxa"/>
            <w:vAlign w:val="bottom"/>
          </w:tcPr>
          <w:p>
            <w:pPr>
              <w:spacing w:after="0"/>
              <w:rPr>
                <w:sz w:val="18"/>
                <w:szCs w:val="18"/>
                <w:color w:val="auto"/>
              </w:rPr>
            </w:pPr>
          </w:p>
        </w:tc>
        <w:tc>
          <w:tcPr>
            <w:tcW w:w="780" w:type="dxa"/>
            <w:vAlign w:val="bottom"/>
            <w:tcBorders>
              <w:top w:val="single" w:sz="8" w:color="auto"/>
            </w:tcBorders>
          </w:tcPr>
          <w:p>
            <w:pPr>
              <w:jc w:val="right"/>
              <w:ind w:right="626"/>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top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461</w:t>
            </w:r>
          </w:p>
        </w:tc>
        <w:tc>
          <w:tcPr>
            <w:tcW w:w="100" w:type="dxa"/>
            <w:vAlign w:val="bottom"/>
          </w:tcPr>
          <w:p>
            <w:pPr>
              <w:spacing w:after="0"/>
              <w:rPr>
                <w:sz w:val="18"/>
                <w:szCs w:val="18"/>
                <w:color w:val="auto"/>
              </w:rPr>
            </w:pP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Supply and Logistics segment adjusted EBITDA</w:t>
            </w:r>
          </w:p>
        </w:tc>
        <w:tc>
          <w:tcPr>
            <w:tcW w:w="14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w:t>
            </w:r>
          </w:p>
        </w:tc>
      </w:tr>
      <w:tr>
        <w:trPr>
          <w:trHeight w:val="216"/>
        </w:trPr>
        <w:tc>
          <w:tcPr>
            <w:tcW w:w="7280" w:type="dxa"/>
            <w:vAlign w:val="bottom"/>
          </w:tcPr>
          <w:p>
            <w:pPr>
              <w:spacing w:after="0" w:line="216" w:lineRule="exact"/>
              <w:rPr>
                <w:sz w:val="20"/>
                <w:szCs w:val="20"/>
                <w:color w:val="auto"/>
              </w:rPr>
            </w:pPr>
            <w:r>
              <w:rPr>
                <w:rFonts w:ascii="Arial" w:cs="Arial" w:eastAsia="Arial" w:hAnsi="Arial"/>
                <w:sz w:val="18"/>
                <w:szCs w:val="18"/>
                <w:color w:val="auto"/>
              </w:rPr>
              <w:t xml:space="preserve">Adjusted other income/(expense), net </w:t>
            </w:r>
            <w:r>
              <w:rPr>
                <w:rFonts w:ascii="Arial" w:cs="Arial" w:eastAsia="Arial" w:hAnsi="Arial"/>
                <w:sz w:val="23"/>
                <w:szCs w:val="23"/>
                <w:color w:val="auto"/>
                <w:vertAlign w:val="superscript"/>
              </w:rPr>
              <w:t>(1)</w:t>
            </w:r>
          </w:p>
        </w:tc>
        <w:tc>
          <w:tcPr>
            <w:tcW w:w="1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7280" w:type="dxa"/>
            <w:vAlign w:val="bottom"/>
            <w:tcBorders>
              <w:top w:val="single" w:sz="8" w:color="CCEEFF"/>
              <w:bottom w:val="single" w:sz="8" w:color="CCEEFF"/>
            </w:tcBorders>
            <w:shd w:val="clear" w:color="auto" w:fill="CCEEFF"/>
          </w:tcPr>
          <w:p>
            <w:pPr>
              <w:spacing w:after="0" w:line="210" w:lineRule="exact"/>
              <w:rPr>
                <w:sz w:val="20"/>
                <w:szCs w:val="20"/>
                <w:color w:val="auto"/>
              </w:rPr>
            </w:pPr>
            <w:r>
              <w:rPr>
                <w:rFonts w:ascii="Arial" w:cs="Arial" w:eastAsia="Arial" w:hAnsi="Arial"/>
                <w:sz w:val="18"/>
                <w:szCs w:val="18"/>
                <w:color w:val="auto"/>
              </w:rPr>
              <w:t xml:space="preserve">Adjusted EBITDA </w:t>
            </w:r>
            <w:r>
              <w:rPr>
                <w:rFonts w:ascii="Arial" w:cs="Arial" w:eastAsia="Arial" w:hAnsi="Arial"/>
                <w:sz w:val="23"/>
                <w:szCs w:val="23"/>
                <w:color w:val="auto"/>
                <w:vertAlign w:val="superscript"/>
              </w:rPr>
              <w:t>(2)</w:t>
            </w:r>
          </w:p>
        </w:tc>
        <w:tc>
          <w:tcPr>
            <w:tcW w:w="148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ind w:right="626"/>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7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205740</wp:posOffset>
            </wp:positionV>
            <wp:extent cx="177546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775460"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320" w:hanging="332"/>
        <w:spacing w:after="0" w:line="227" w:lineRule="auto"/>
        <w:tabs>
          <w:tab w:leader="none" w:pos="328" w:val="left"/>
        </w:tabs>
        <w:numPr>
          <w:ilvl w:val="0"/>
          <w:numId w:val="14"/>
        </w:numPr>
        <w:rPr>
          <w:rFonts w:ascii="Arial" w:cs="Arial" w:eastAsia="Arial" w:hAnsi="Arial"/>
          <w:sz w:val="23"/>
          <w:szCs w:val="23"/>
          <w:color w:val="auto"/>
          <w:vertAlign w:val="superscript"/>
        </w:rPr>
      </w:pPr>
      <w:r>
        <w:rPr>
          <w:rFonts w:ascii="Arial" w:cs="Arial" w:eastAsia="Arial" w:hAnsi="Arial"/>
          <w:sz w:val="18"/>
          <w:szCs w:val="18"/>
          <w:color w:val="auto"/>
        </w:rPr>
        <w:t>Represents Other expense, net adjusted for selected items impacting comparability of $2 million and $5 million for the three months ended March 31, 2018 and 2017, respectively. See the “Selected Items Impacting Comparability” table for additional information.</w:t>
      </w:r>
    </w:p>
    <w:p>
      <w:pPr>
        <w:ind w:left="320" w:hanging="312"/>
        <w:spacing w:after="0" w:line="196" w:lineRule="auto"/>
        <w:tabs>
          <w:tab w:leader="none" w:pos="320" w:val="left"/>
        </w:tabs>
        <w:numPr>
          <w:ilvl w:val="0"/>
          <w:numId w:val="14"/>
        </w:numPr>
        <w:rPr>
          <w:rFonts w:ascii="Arial" w:cs="Arial" w:eastAsia="Arial" w:hAnsi="Arial"/>
          <w:sz w:val="23"/>
          <w:szCs w:val="23"/>
          <w:color w:val="auto"/>
          <w:vertAlign w:val="superscript"/>
        </w:rPr>
      </w:pPr>
      <w:r>
        <w:rPr>
          <w:rFonts w:ascii="Arial" w:cs="Arial" w:eastAsia="Arial" w:hAnsi="Arial"/>
          <w:sz w:val="18"/>
          <w:szCs w:val="18"/>
          <w:color w:val="auto"/>
        </w:rPr>
        <w:t>See the “Net Income to Adjusted EBITDA and Implied DCF Reconciliation” table for reconciliation to net income.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RECONCILIATIONS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and ratio data)</w:t>
      </w:r>
    </w:p>
    <w:p>
      <w:pPr>
        <w:spacing w:after="0" w:line="202" w:lineRule="exact"/>
        <w:rPr>
          <w:sz w:val="20"/>
          <w:szCs w:val="20"/>
          <w:color w:val="auto"/>
        </w:rPr>
      </w:pPr>
    </w:p>
    <w:p>
      <w:pPr>
        <w:jc w:val="center"/>
        <w:ind w:left="8660"/>
        <w:spacing w:after="0"/>
        <w:rPr>
          <w:sz w:val="20"/>
          <w:szCs w:val="20"/>
          <w:color w:val="auto"/>
        </w:rPr>
      </w:pPr>
      <w:r>
        <w:rPr>
          <w:rFonts w:ascii="Arial" w:cs="Arial" w:eastAsia="Arial" w:hAnsi="Arial"/>
          <w:sz w:val="14"/>
          <w:szCs w:val="14"/>
          <w:b w:val="1"/>
          <w:bCs w:val="1"/>
          <w:color w:val="auto"/>
        </w:rPr>
        <w:t>Twelve Months Ended</w:t>
      </w:r>
    </w:p>
    <w:p>
      <w:pPr>
        <w:jc w:val="center"/>
        <w:ind w:left="866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120" w:type="dxa"/>
            <w:vAlign w:val="bottom"/>
            <w:tcBorders>
              <w:bottom w:val="single" w:sz="8" w:color="CCEEFF"/>
            </w:tcBorders>
          </w:tcPr>
          <w:p>
            <w:pPr>
              <w:spacing w:after="0"/>
              <w:rPr>
                <w:sz w:val="12"/>
                <w:szCs w:val="12"/>
                <w:color w:val="auto"/>
              </w:rPr>
            </w:pPr>
          </w:p>
        </w:tc>
        <w:tc>
          <w:tcPr>
            <w:tcW w:w="1620" w:type="dxa"/>
            <w:vAlign w:val="bottom"/>
            <w:tcBorders>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42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51"/>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Income to Adjusted EBITDA and Implied DCF Reconciliation</w:t>
            </w:r>
          </w:p>
        </w:tc>
        <w:tc>
          <w:tcPr>
            <w:tcW w:w="16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Net Income</w:t>
            </w:r>
          </w:p>
        </w:tc>
        <w:tc>
          <w:tcPr>
            <w:tcW w:w="2340" w:type="dxa"/>
            <w:vAlign w:val="bottom"/>
            <w:gridSpan w:val="2"/>
          </w:tcPr>
          <w:p>
            <w:pPr>
              <w:jc w:val="right"/>
              <w:ind w:right="566"/>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858</w:t>
            </w:r>
          </w:p>
        </w:tc>
        <w:tc>
          <w:tcPr>
            <w:tcW w:w="3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 net</w:t>
            </w:r>
          </w:p>
        </w:tc>
        <w:tc>
          <w:tcPr>
            <w:tcW w:w="1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160"/>
              <w:spacing w:after="0"/>
              <w:rPr>
                <w:sz w:val="20"/>
                <w:szCs w:val="20"/>
                <w:color w:val="auto"/>
              </w:rPr>
            </w:pPr>
            <w:r>
              <w:rPr>
                <w:rFonts w:ascii="Arial" w:cs="Arial" w:eastAsia="Arial" w:hAnsi="Arial"/>
                <w:sz w:val="18"/>
                <w:szCs w:val="18"/>
                <w:color w:val="auto"/>
              </w:rPr>
              <w:t>Income tax expense</w:t>
            </w:r>
          </w:p>
        </w:tc>
        <w:tc>
          <w:tcPr>
            <w:tcW w:w="1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1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Depreciation and amortization of unconsolidated entities </w:t>
            </w:r>
            <w:r>
              <w:rPr>
                <w:rFonts w:ascii="Arial" w:cs="Arial" w:eastAsia="Arial" w:hAnsi="Arial"/>
                <w:sz w:val="23"/>
                <w:szCs w:val="23"/>
                <w:color w:val="auto"/>
                <w:vertAlign w:val="superscript"/>
              </w:rPr>
              <w:t>(1)</w:t>
            </w:r>
          </w:p>
        </w:tc>
        <w:tc>
          <w:tcPr>
            <w:tcW w:w="1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Selected items impacting comparability - Adjusted EBITDA</w:t>
            </w:r>
          </w:p>
        </w:tc>
        <w:tc>
          <w:tcPr>
            <w:tcW w:w="1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Adjusted EBITDA</w:t>
            </w:r>
          </w:p>
        </w:tc>
        <w:tc>
          <w:tcPr>
            <w:tcW w:w="1620" w:type="dxa"/>
            <w:vAlign w:val="bottom"/>
            <w:tcBorders>
              <w:bottom w:val="single" w:sz="8" w:color="CCEEFF"/>
            </w:tcBorders>
          </w:tcPr>
          <w:p>
            <w:pPr>
              <w:spacing w:after="0"/>
              <w:rPr>
                <w:sz w:val="21"/>
                <w:szCs w:val="21"/>
                <w:color w:val="auto"/>
              </w:rPr>
            </w:pPr>
          </w:p>
        </w:tc>
        <w:tc>
          <w:tcPr>
            <w:tcW w:w="720" w:type="dxa"/>
            <w:vAlign w:val="bottom"/>
            <w:tcBorders>
              <w:top w:val="single" w:sz="8" w:color="auto"/>
              <w:bottom w:val="single" w:sz="8" w:color="auto"/>
            </w:tcBorders>
          </w:tcPr>
          <w:p>
            <w:pPr>
              <w:jc w:val="right"/>
              <w:ind w:right="566"/>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2,082</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2,169</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120" w:type="dxa"/>
            <w:vAlign w:val="bottom"/>
            <w:shd w:val="clear" w:color="auto" w:fill="CCEEFF"/>
          </w:tcPr>
          <w:p>
            <w:pPr>
              <w:ind w:left="160"/>
              <w:spacing w:after="0" w:line="197" w:lineRule="exact"/>
              <w:rPr>
                <w:sz w:val="20"/>
                <w:szCs w:val="20"/>
                <w:color w:val="auto"/>
              </w:rPr>
            </w:pPr>
            <w:r>
              <w:rPr>
                <w:rFonts w:ascii="Arial" w:cs="Arial" w:eastAsia="Arial" w:hAnsi="Arial"/>
                <w:sz w:val="17"/>
                <w:szCs w:val="17"/>
                <w:color w:val="auto"/>
              </w:rPr>
              <w:t xml:space="preserve">Interest expense, net </w:t>
            </w:r>
            <w:r>
              <w:rPr>
                <w:rFonts w:ascii="Arial" w:cs="Arial" w:eastAsia="Arial" w:hAnsi="Arial"/>
                <w:sz w:val="22"/>
                <w:szCs w:val="22"/>
                <w:color w:val="auto"/>
                <w:vertAlign w:val="superscript"/>
              </w:rPr>
              <w:t>(2)</w:t>
            </w:r>
          </w:p>
        </w:tc>
        <w:tc>
          <w:tcPr>
            <w:tcW w:w="16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5"/>
              </w:rPr>
              <w:t>(483)</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(451)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160"/>
              <w:spacing w:after="0"/>
              <w:rPr>
                <w:sz w:val="20"/>
                <w:szCs w:val="20"/>
                <w:color w:val="auto"/>
              </w:rPr>
            </w:pPr>
            <w:r>
              <w:rPr>
                <w:rFonts w:ascii="Arial" w:cs="Arial" w:eastAsia="Arial" w:hAnsi="Arial"/>
                <w:sz w:val="18"/>
                <w:szCs w:val="18"/>
                <w:color w:val="auto"/>
              </w:rPr>
              <w:t>Maintenance capital</w:t>
            </w:r>
          </w:p>
        </w:tc>
        <w:tc>
          <w:tcPr>
            <w:tcW w:w="1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(247)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income tax expense</w:t>
            </w:r>
          </w:p>
        </w:tc>
        <w:tc>
          <w:tcPr>
            <w:tcW w:w="1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Adjusted equity earnings in unconsolidated entities, net of distributions </w:t>
            </w:r>
            <w:r>
              <w:rPr>
                <w:rFonts w:ascii="Arial" w:cs="Arial" w:eastAsia="Arial" w:hAnsi="Arial"/>
                <w:sz w:val="23"/>
                <w:szCs w:val="23"/>
                <w:color w:val="auto"/>
                <w:vertAlign w:val="superscript"/>
              </w:rPr>
              <w:t>(3)</w:t>
            </w:r>
          </w:p>
        </w:tc>
        <w:tc>
          <w:tcPr>
            <w:tcW w:w="1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Distributions to noncontrolling interests</w:t>
            </w:r>
          </w:p>
        </w:tc>
        <w:tc>
          <w:tcPr>
            <w:tcW w:w="1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Implied DCF</w:t>
            </w:r>
          </w:p>
        </w:tc>
        <w:tc>
          <w:tcPr>
            <w:tcW w:w="1620" w:type="dxa"/>
            <w:vAlign w:val="bottom"/>
          </w:tcPr>
          <w:p>
            <w:pPr>
              <w:spacing w:after="0"/>
              <w:rPr>
                <w:sz w:val="18"/>
                <w:szCs w:val="18"/>
                <w:color w:val="auto"/>
              </w:rPr>
            </w:pPr>
          </w:p>
        </w:tc>
        <w:tc>
          <w:tcPr>
            <w:tcW w:w="720" w:type="dxa"/>
            <w:vAlign w:val="bottom"/>
            <w:tcBorders>
              <w:top w:val="single" w:sz="8" w:color="auto"/>
            </w:tcBorders>
          </w:tcPr>
          <w:p>
            <w:pPr>
              <w:jc w:val="right"/>
              <w:ind w:right="566"/>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1,312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Preferred unit distributions </w:t>
            </w:r>
            <w:r>
              <w:rPr>
                <w:rFonts w:ascii="Arial" w:cs="Arial" w:eastAsia="Arial" w:hAnsi="Arial"/>
                <w:sz w:val="23"/>
                <w:szCs w:val="23"/>
                <w:color w:val="auto"/>
                <w:vertAlign w:val="superscript"/>
              </w:rPr>
              <w:t>(4)</w:t>
            </w:r>
          </w:p>
        </w:tc>
        <w:tc>
          <w:tcPr>
            <w:tcW w:w="1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General partner cash distributions </w:t>
            </w:r>
            <w:r>
              <w:rPr>
                <w:rFonts w:ascii="Arial" w:cs="Arial" w:eastAsia="Arial" w:hAnsi="Arial"/>
                <w:sz w:val="23"/>
                <w:szCs w:val="23"/>
                <w:color w:val="auto"/>
                <w:vertAlign w:val="superscript"/>
              </w:rPr>
              <w:t>(5)</w:t>
            </w:r>
          </w:p>
        </w:tc>
        <w:tc>
          <w:tcPr>
            <w:tcW w:w="1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(565)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Implied DCF Available to Common Unitholders</w:t>
            </w:r>
          </w:p>
        </w:tc>
        <w:tc>
          <w:tcPr>
            <w:tcW w:w="162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ind w:right="566"/>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1,307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Implied DCF per Common Unit </w:t>
            </w:r>
            <w:r>
              <w:rPr>
                <w:rFonts w:ascii="Arial" w:cs="Arial" w:eastAsia="Arial" w:hAnsi="Arial"/>
                <w:sz w:val="23"/>
                <w:szCs w:val="23"/>
                <w:color w:val="auto"/>
                <w:vertAlign w:val="superscript"/>
              </w:rPr>
              <w:t>(6)</w:t>
            </w:r>
          </w:p>
        </w:tc>
        <w:tc>
          <w:tcPr>
            <w:tcW w:w="2340" w:type="dxa"/>
            <w:vAlign w:val="bottom"/>
            <w:gridSpan w:val="2"/>
            <w:shd w:val="clear" w:color="auto" w:fill="CCEEFF"/>
          </w:tcPr>
          <w:p>
            <w:pPr>
              <w:jc w:val="right"/>
              <w:ind w:right="566"/>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1.82</w:t>
            </w:r>
          </w:p>
        </w:tc>
        <w:tc>
          <w:tcPr>
            <w:tcW w:w="3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line="216" w:lineRule="exact"/>
              <w:rPr>
                <w:sz w:val="20"/>
                <w:szCs w:val="20"/>
                <w:color w:val="auto"/>
              </w:rPr>
            </w:pPr>
            <w:r>
              <w:rPr>
                <w:rFonts w:ascii="Arial" w:cs="Arial" w:eastAsia="Arial" w:hAnsi="Arial"/>
                <w:sz w:val="18"/>
                <w:szCs w:val="18"/>
                <w:color w:val="auto"/>
              </w:rPr>
              <w:t xml:space="preserve">Implied DCF per Common Unit and Common Equivalent Unit </w:t>
            </w:r>
            <w:r>
              <w:rPr>
                <w:rFonts w:ascii="Arial" w:cs="Arial" w:eastAsia="Arial" w:hAnsi="Arial"/>
                <w:sz w:val="23"/>
                <w:szCs w:val="23"/>
                <w:color w:val="auto"/>
                <w:vertAlign w:val="superscript"/>
              </w:rPr>
              <w:t>(7)</w:t>
            </w:r>
          </w:p>
        </w:tc>
        <w:tc>
          <w:tcPr>
            <w:tcW w:w="2340" w:type="dxa"/>
            <w:vAlign w:val="bottom"/>
            <w:gridSpan w:val="2"/>
          </w:tcPr>
          <w:p>
            <w:pPr>
              <w:jc w:val="right"/>
              <w:ind w:right="566"/>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1.67</w:t>
            </w:r>
          </w:p>
        </w:tc>
        <w:tc>
          <w:tcPr>
            <w:tcW w:w="3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Cash Distribution Paid per Common Unit</w:t>
            </w:r>
          </w:p>
        </w:tc>
        <w:tc>
          <w:tcPr>
            <w:tcW w:w="2340" w:type="dxa"/>
            <w:vAlign w:val="bottom"/>
            <w:gridSpan w:val="2"/>
          </w:tcPr>
          <w:p>
            <w:pPr>
              <w:jc w:val="right"/>
              <w:ind w:right="566"/>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1.95</w:t>
            </w:r>
          </w:p>
        </w:tc>
        <w:tc>
          <w:tcPr>
            <w:tcW w:w="3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Common Unit Cash Distributions </w:t>
            </w:r>
            <w:r>
              <w:rPr>
                <w:rFonts w:ascii="Arial" w:cs="Arial" w:eastAsia="Arial" w:hAnsi="Arial"/>
                <w:sz w:val="23"/>
                <w:szCs w:val="23"/>
                <w:color w:val="auto"/>
                <w:vertAlign w:val="superscript"/>
              </w:rPr>
              <w:t>(8)</w:t>
            </w:r>
          </w:p>
        </w:tc>
        <w:tc>
          <w:tcPr>
            <w:tcW w:w="2340" w:type="dxa"/>
            <w:vAlign w:val="bottom"/>
            <w:gridSpan w:val="2"/>
            <w:shd w:val="clear" w:color="auto" w:fill="CCEEFF"/>
          </w:tcPr>
          <w:p>
            <w:pPr>
              <w:jc w:val="right"/>
              <w:ind w:right="566"/>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1,386</w:t>
            </w:r>
          </w:p>
        </w:tc>
        <w:tc>
          <w:tcPr>
            <w:tcW w:w="3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1,627</w:t>
            </w:r>
          </w:p>
        </w:tc>
        <w:tc>
          <w:tcPr>
            <w:tcW w:w="0" w:type="dxa"/>
            <w:vAlign w:val="bottom"/>
          </w:tcPr>
          <w:p>
            <w:pPr>
              <w:spacing w:after="0"/>
              <w:rPr>
                <w:sz w:val="1"/>
                <w:szCs w:val="1"/>
                <w:color w:val="auto"/>
              </w:rPr>
            </w:pPr>
          </w:p>
        </w:tc>
      </w:tr>
      <w:tr>
        <w:trPr>
          <w:trHeight w:val="226"/>
        </w:trPr>
        <w:tc>
          <w:tcPr>
            <w:tcW w:w="20" w:type="dxa"/>
            <w:vAlign w:val="bottom"/>
            <w:tcBorders>
              <w:bottom w:val="single" w:sz="8" w:color="CCEEFF"/>
            </w:tcBorders>
          </w:tcPr>
          <w:p>
            <w:pPr>
              <w:spacing w:after="0"/>
              <w:rPr>
                <w:sz w:val="19"/>
                <w:szCs w:val="19"/>
                <w:color w:val="auto"/>
              </w:rPr>
            </w:pPr>
          </w:p>
        </w:tc>
        <w:tc>
          <w:tcPr>
            <w:tcW w:w="7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Common Unit Distribution Coverage Ratio</w:t>
            </w:r>
          </w:p>
        </w:tc>
        <w:tc>
          <w:tcPr>
            <w:tcW w:w="162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gridSpan w:val="2"/>
          </w:tcPr>
          <w:p>
            <w:pPr>
              <w:jc w:val="right"/>
              <w:ind w:right="160"/>
              <w:spacing w:after="0"/>
              <w:rPr>
                <w:sz w:val="20"/>
                <w:szCs w:val="20"/>
                <w:color w:val="auto"/>
              </w:rPr>
            </w:pPr>
            <w:r>
              <w:rPr>
                <w:rFonts w:ascii="Arial" w:cs="Arial" w:eastAsia="Arial" w:hAnsi="Arial"/>
                <w:sz w:val="18"/>
                <w:szCs w:val="18"/>
                <w:color w:val="auto"/>
                <w:w w:val="90"/>
              </w:rPr>
              <w:t>0.94x</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0.87x</w:t>
            </w:r>
          </w:p>
        </w:tc>
        <w:tc>
          <w:tcPr>
            <w:tcW w:w="0" w:type="dxa"/>
            <w:vAlign w:val="bottom"/>
          </w:tcPr>
          <w:p>
            <w:pPr>
              <w:spacing w:after="0"/>
              <w:rPr>
                <w:sz w:val="1"/>
                <w:szCs w:val="1"/>
                <w:color w:val="auto"/>
              </w:rPr>
            </w:pPr>
          </w:p>
        </w:tc>
      </w:tr>
    </w:tbl>
    <w:p>
      <w:pPr>
        <w:sectPr>
          <w:pgSz w:w="11900" w:h="16900" w:orient="portrait"/>
          <w:cols w:equalWidth="0" w:num="1">
            <w:col w:w="11420"/>
          </w:cols>
          <w:pgMar w:left="240" w:top="91" w:right="239" w:bottom="0" w:gutter="0" w:footer="0" w:header="0"/>
        </w:sectPr>
      </w:pPr>
    </w:p>
    <w:bookmarkStart w:id="13" w:name="page14"/>
    <w:bookmarkEnd w:id="13"/>
    <w:p>
      <w:pPr>
        <w:spacing w:after="0"/>
        <w:tabs>
          <w:tab w:leader="none" w:pos="8740" w:val="left"/>
          <w:tab w:leader="none" w:pos="9640" w:val="left"/>
          <w:tab w:leader="none" w:pos="10160" w:val="left"/>
          <w:tab w:leader="none" w:pos="109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1371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t>Implied DCF Excess / (Shortage)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(79)</w:t>
        <w:tab/>
        <w:t>$</w:t>
      </w:r>
      <w:r>
        <w:rPr>
          <w:sz w:val="20"/>
          <w:szCs w:val="20"/>
          <w:color w:val="auto"/>
        </w:rPr>
        <w:tab/>
      </w:r>
      <w:r>
        <w:rPr>
          <w:rFonts w:ascii="Arial" w:cs="Arial" w:eastAsia="Arial" w:hAnsi="Arial"/>
          <w:sz w:val="17"/>
          <w:szCs w:val="17"/>
          <w:color w:val="auto"/>
        </w:rPr>
        <w:t>(213)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182689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340" w:right="100" w:hanging="332"/>
        <w:spacing w:after="0" w:line="227" w:lineRule="auto"/>
        <w:tabs>
          <w:tab w:leader="none" w:pos="328" w:val="left"/>
        </w:tabs>
        <w:numPr>
          <w:ilvl w:val="0"/>
          <w:numId w:val="15"/>
        </w:numPr>
        <w:rPr>
          <w:rFonts w:ascii="Arial" w:cs="Arial" w:eastAsia="Arial" w:hAnsi="Arial"/>
          <w:sz w:val="23"/>
          <w:szCs w:val="23"/>
          <w:color w:val="auto"/>
          <w:vertAlign w:val="superscript"/>
        </w:rPr>
      </w:pPr>
      <w:r>
        <w:rPr>
          <w:rFonts w:ascii="Arial" w:cs="Arial" w:eastAsia="Arial" w:hAnsi="Arial"/>
          <w:sz w:val="18"/>
          <w:szCs w:val="18"/>
          <w:color w:val="auto"/>
        </w:rPr>
        <w:t>Adjustment to add back our proportionate share of depreciation and amortization expense and gains or losses on significant asset sales of unconsolidated entities.</w:t>
      </w:r>
    </w:p>
    <w:p>
      <w:pPr>
        <w:ind w:left="320" w:hanging="312"/>
        <w:spacing w:after="0" w:line="205" w:lineRule="auto"/>
        <w:tabs>
          <w:tab w:leader="none" w:pos="320" w:val="left"/>
        </w:tabs>
        <w:numPr>
          <w:ilvl w:val="0"/>
          <w:numId w:val="15"/>
        </w:numPr>
        <w:rPr>
          <w:rFonts w:ascii="Arial" w:cs="Arial" w:eastAsia="Arial" w:hAnsi="Arial"/>
          <w:sz w:val="22"/>
          <w:szCs w:val="22"/>
          <w:color w:val="auto"/>
          <w:vertAlign w:val="superscript"/>
        </w:rPr>
      </w:pPr>
      <w:r>
        <w:rPr>
          <w:rFonts w:ascii="Arial" w:cs="Arial" w:eastAsia="Arial" w:hAnsi="Arial"/>
          <w:sz w:val="17"/>
          <w:szCs w:val="17"/>
          <w:color w:val="auto"/>
        </w:rPr>
        <w:t>Excludes certain non-cash items impacting interest expense such as amortization of debt issuance costs and terminated interest rate swaps.</w:t>
      </w:r>
    </w:p>
    <w:p>
      <w:pPr>
        <w:spacing w:after="0" w:line="1" w:lineRule="exact"/>
        <w:rPr>
          <w:rFonts w:ascii="Arial" w:cs="Arial" w:eastAsia="Arial" w:hAnsi="Arial"/>
          <w:sz w:val="22"/>
          <w:szCs w:val="22"/>
          <w:color w:val="auto"/>
          <w:vertAlign w:val="superscript"/>
        </w:rPr>
      </w:pPr>
    </w:p>
    <w:p>
      <w:pPr>
        <w:ind w:left="340" w:right="780" w:hanging="332"/>
        <w:spacing w:after="0" w:line="219" w:lineRule="auto"/>
        <w:tabs>
          <w:tab w:leader="none" w:pos="328" w:val="left"/>
        </w:tabs>
        <w:numPr>
          <w:ilvl w:val="0"/>
          <w:numId w:val="15"/>
        </w:numPr>
        <w:rPr>
          <w:rFonts w:ascii="Arial" w:cs="Arial" w:eastAsia="Arial" w:hAnsi="Arial"/>
          <w:sz w:val="23"/>
          <w:szCs w:val="23"/>
          <w:color w:val="auto"/>
          <w:vertAlign w:val="superscript"/>
        </w:rPr>
      </w:pPr>
      <w:r>
        <w:rPr>
          <w:rFonts w:ascii="Arial" w:cs="Arial" w:eastAsia="Arial" w:hAnsi="Arial"/>
          <w:sz w:val="18"/>
          <w:szCs w:val="18"/>
          <w:color w:val="auto"/>
        </w:rPr>
        <w:t>Represents the difference between non-cash equity earnings in unconsolidated entities (adjusted for our proportionate share of depreciation and amortization and gains or losses on significant asset sales) and cash distributions received from such entities.</w:t>
      </w:r>
    </w:p>
    <w:p>
      <w:pPr>
        <w:ind w:left="340" w:right="60" w:hanging="332"/>
        <w:spacing w:after="0" w:line="265" w:lineRule="auto"/>
        <w:tabs>
          <w:tab w:leader="none" w:pos="328" w:val="left"/>
        </w:tabs>
        <w:numPr>
          <w:ilvl w:val="0"/>
          <w:numId w:val="15"/>
        </w:numPr>
        <w:rPr>
          <w:rFonts w:ascii="Arial" w:cs="Arial" w:eastAsia="Arial" w:hAnsi="Arial"/>
          <w:sz w:val="21"/>
          <w:szCs w:val="21"/>
          <w:color w:val="auto"/>
          <w:vertAlign w:val="superscript"/>
        </w:rPr>
      </w:pPr>
      <w:r>
        <w:rPr>
          <w:rFonts w:ascii="Arial" w:cs="Arial" w:eastAsia="Arial" w:hAnsi="Arial"/>
          <w:sz w:val="16"/>
          <w:szCs w:val="16"/>
          <w:color w:val="auto"/>
        </w:rPr>
        <w:t>Cash distributions paid to our preferred unitholders during the period presented. The $0.5250 quarterly ($2.10 annualized) per unit distribution requirement of our Series A preferred units has been paid-in-kind for each quarterly distribution since their issuance; as such, no Series A preferred unit distributions are included for any periods presented. Distributions on our Series A preferred units must be paid in cash beginning with the May 2018 quarterly distribution. The $61.25 per unit annual distribution requirement of our Series B preferred units, which were issued in October 2017, is payable semi-annually in arrears on May 15 and November 15. A pro-rated initial distribution on the Series B preferred units was paid on November 15, 2017.</w:t>
      </w:r>
    </w:p>
    <w:p>
      <w:pPr>
        <w:spacing w:after="0" w:line="1" w:lineRule="exact"/>
        <w:rPr>
          <w:rFonts w:ascii="Arial" w:cs="Arial" w:eastAsia="Arial" w:hAnsi="Arial"/>
          <w:sz w:val="21"/>
          <w:szCs w:val="21"/>
          <w:color w:val="auto"/>
          <w:vertAlign w:val="superscript"/>
        </w:rPr>
      </w:pPr>
    </w:p>
    <w:p>
      <w:pPr>
        <w:ind w:left="340" w:right="340" w:hanging="332"/>
        <w:spacing w:after="0" w:line="219" w:lineRule="auto"/>
        <w:tabs>
          <w:tab w:leader="none" w:pos="328" w:val="left"/>
        </w:tabs>
        <w:numPr>
          <w:ilvl w:val="0"/>
          <w:numId w:val="15"/>
        </w:numPr>
        <w:rPr>
          <w:rFonts w:ascii="Arial" w:cs="Arial" w:eastAsia="Arial" w:hAnsi="Arial"/>
          <w:sz w:val="23"/>
          <w:szCs w:val="23"/>
          <w:color w:val="auto"/>
          <w:vertAlign w:val="superscript"/>
        </w:rPr>
      </w:pPr>
      <w:r>
        <w:rPr>
          <w:rFonts w:ascii="Arial" w:cs="Arial" w:eastAsia="Arial" w:hAnsi="Arial"/>
          <w:sz w:val="18"/>
          <w:szCs w:val="18"/>
          <w:color w:val="auto"/>
        </w:rPr>
        <w:t>The Simplification Transactions, which closed on November 15, 2016, simplified our governance structure and permanently eliminated our incentive distribution rights (IDRs) and the economic rights associated with our 2% general partner interest.</w:t>
      </w:r>
    </w:p>
    <w:p>
      <w:pPr>
        <w:spacing w:after="0" w:line="1" w:lineRule="exact"/>
        <w:rPr>
          <w:rFonts w:ascii="Arial" w:cs="Arial" w:eastAsia="Arial" w:hAnsi="Arial"/>
          <w:sz w:val="23"/>
          <w:szCs w:val="23"/>
          <w:color w:val="auto"/>
          <w:vertAlign w:val="superscript"/>
        </w:rPr>
      </w:pPr>
    </w:p>
    <w:p>
      <w:pPr>
        <w:ind w:left="340" w:right="80" w:hanging="332"/>
        <w:spacing w:after="0" w:line="219" w:lineRule="auto"/>
        <w:tabs>
          <w:tab w:leader="none" w:pos="328" w:val="left"/>
        </w:tabs>
        <w:numPr>
          <w:ilvl w:val="0"/>
          <w:numId w:val="15"/>
        </w:numPr>
        <w:rPr>
          <w:rFonts w:ascii="Arial" w:cs="Arial" w:eastAsia="Arial" w:hAnsi="Arial"/>
          <w:sz w:val="23"/>
          <w:szCs w:val="23"/>
          <w:color w:val="auto"/>
          <w:vertAlign w:val="superscript"/>
        </w:rPr>
      </w:pPr>
      <w:r>
        <w:rPr>
          <w:rFonts w:ascii="Arial" w:cs="Arial" w:eastAsia="Arial" w:hAnsi="Arial"/>
          <w:sz w:val="18"/>
          <w:szCs w:val="18"/>
          <w:color w:val="auto"/>
        </w:rPr>
        <w:t>Implied DCF Available to Common Unitholders for the period divided by the weighted average common units outstanding for the periods of 717 million and 464 million, respectively.</w:t>
      </w:r>
    </w:p>
    <w:p>
      <w:pPr>
        <w:spacing w:after="0" w:line="1" w:lineRule="exact"/>
        <w:rPr>
          <w:rFonts w:ascii="Arial" w:cs="Arial" w:eastAsia="Arial" w:hAnsi="Arial"/>
          <w:sz w:val="23"/>
          <w:szCs w:val="23"/>
          <w:color w:val="auto"/>
          <w:vertAlign w:val="superscript"/>
        </w:rPr>
      </w:pPr>
    </w:p>
    <w:p>
      <w:pPr>
        <w:ind w:left="340" w:right="160" w:hanging="332"/>
        <w:spacing w:after="0" w:line="234" w:lineRule="auto"/>
        <w:tabs>
          <w:tab w:leader="none" w:pos="328" w:val="left"/>
        </w:tabs>
        <w:numPr>
          <w:ilvl w:val="0"/>
          <w:numId w:val="15"/>
        </w:numPr>
        <w:rPr>
          <w:rFonts w:ascii="Arial" w:cs="Arial" w:eastAsia="Arial" w:hAnsi="Arial"/>
          <w:sz w:val="23"/>
          <w:szCs w:val="23"/>
          <w:color w:val="auto"/>
          <w:vertAlign w:val="superscript"/>
        </w:rPr>
      </w:pPr>
      <w:r>
        <w:rPr>
          <w:rFonts w:ascii="Arial" w:cs="Arial" w:eastAsia="Arial" w:hAnsi="Arial"/>
          <w:sz w:val="18"/>
          <w:szCs w:val="18"/>
          <w:color w:val="auto"/>
        </w:rPr>
        <w:t>Implied DCF Available to Common Unitholders for the period, adjusted for Series A preferred unit cash distributions paid (if any), divided by the weighted average common units and common equivalent units outstanding for the periods of 784 million and 522 million, respectively. Our Series A preferred units are convertible into common units, generally on a one-for-one basis and subject to customary anti-dilution adjustments, at any time after January 28, 2018, in whole or in part, subject to certain minimum conversion amounts.</w:t>
      </w:r>
    </w:p>
    <w:p>
      <w:pPr>
        <w:spacing w:after="0" w:line="1" w:lineRule="exact"/>
        <w:rPr>
          <w:rFonts w:ascii="Arial" w:cs="Arial" w:eastAsia="Arial" w:hAnsi="Arial"/>
          <w:sz w:val="23"/>
          <w:szCs w:val="23"/>
          <w:color w:val="auto"/>
          <w:vertAlign w:val="superscript"/>
        </w:rPr>
      </w:pPr>
    </w:p>
    <w:p>
      <w:pPr>
        <w:ind w:left="340" w:right="80" w:hanging="332"/>
        <w:spacing w:after="0" w:line="219" w:lineRule="auto"/>
        <w:tabs>
          <w:tab w:leader="none" w:pos="328" w:val="left"/>
        </w:tabs>
        <w:numPr>
          <w:ilvl w:val="0"/>
          <w:numId w:val="15"/>
        </w:numPr>
        <w:rPr>
          <w:rFonts w:ascii="Arial" w:cs="Arial" w:eastAsia="Arial" w:hAnsi="Arial"/>
          <w:sz w:val="23"/>
          <w:szCs w:val="23"/>
          <w:color w:val="auto"/>
          <w:vertAlign w:val="superscript"/>
        </w:rPr>
      </w:pPr>
      <w:r>
        <w:rPr>
          <w:rFonts w:ascii="Arial" w:cs="Arial" w:eastAsia="Arial" w:hAnsi="Arial"/>
          <w:sz w:val="18"/>
          <w:szCs w:val="18"/>
          <w:color w:val="auto"/>
        </w:rPr>
        <w:t>Cash distributions paid during the period presented. For the twelve months ended December 31, 2016, includes $565 million of cash distributions paid to the general partner during the period.</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RECONCILIATIONS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data)</w:t>
      </w:r>
    </w:p>
    <w:p>
      <w:pPr>
        <w:spacing w:after="0" w:line="202" w:lineRule="exact"/>
        <w:rPr>
          <w:sz w:val="20"/>
          <w:szCs w:val="20"/>
          <w:color w:val="auto"/>
        </w:rPr>
      </w:pPr>
    </w:p>
    <w:p>
      <w:pPr>
        <w:jc w:val="center"/>
        <w:ind w:left="8660"/>
        <w:spacing w:after="0"/>
        <w:rPr>
          <w:sz w:val="20"/>
          <w:szCs w:val="20"/>
          <w:color w:val="auto"/>
        </w:rPr>
      </w:pPr>
      <w:r>
        <w:rPr>
          <w:rFonts w:ascii="Arial" w:cs="Arial" w:eastAsia="Arial" w:hAnsi="Arial"/>
          <w:sz w:val="14"/>
          <w:szCs w:val="14"/>
          <w:b w:val="1"/>
          <w:bCs w:val="1"/>
          <w:color w:val="auto"/>
        </w:rPr>
        <w:t>Twelve Months Ended</w:t>
      </w:r>
    </w:p>
    <w:p>
      <w:pPr>
        <w:jc w:val="center"/>
        <w:ind w:left="866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8060" w:type="dxa"/>
            <w:vAlign w:val="bottom"/>
            <w:tcBorders>
              <w:bottom w:val="single" w:sz="8" w:color="CCEEFF"/>
            </w:tcBorders>
          </w:tcPr>
          <w:p>
            <w:pPr>
              <w:spacing w:after="0"/>
              <w:rPr>
                <w:sz w:val="12"/>
                <w:szCs w:val="12"/>
                <w:color w:val="auto"/>
              </w:rPr>
            </w:pPr>
          </w:p>
        </w:tc>
        <w:tc>
          <w:tcPr>
            <w:tcW w:w="68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38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53"/>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060" w:type="dxa"/>
            <w:vAlign w:val="bottom"/>
            <w:shd w:val="clear" w:color="auto" w:fill="CCEEFF"/>
          </w:tcPr>
          <w:p>
            <w:pPr>
              <w:spacing w:after="0" w:line="178" w:lineRule="exact"/>
              <w:rPr>
                <w:sz w:val="20"/>
                <w:szCs w:val="20"/>
                <w:color w:val="auto"/>
              </w:rPr>
            </w:pPr>
            <w:r>
              <w:rPr>
                <w:rFonts w:ascii="Arial" w:cs="Arial" w:eastAsia="Arial" w:hAnsi="Arial"/>
                <w:sz w:val="18"/>
                <w:szCs w:val="18"/>
                <w:b w:val="1"/>
                <w:bCs w:val="1"/>
                <w:color w:val="auto"/>
              </w:rPr>
              <w:t>Net Income Per Common Unit to Implied DCF Per Common Unit and Common Equivalent Unit</w:t>
            </w:r>
          </w:p>
        </w:tc>
        <w:tc>
          <w:tcPr>
            <w:tcW w:w="6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Reconciliation</w:t>
            </w:r>
          </w:p>
        </w:tc>
        <w:tc>
          <w:tcPr>
            <w:tcW w:w="6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Basic net income per common unit</w:t>
            </w:r>
          </w:p>
        </w:tc>
        <w:tc>
          <w:tcPr>
            <w:tcW w:w="1440" w:type="dxa"/>
            <w:vAlign w:val="bottom"/>
            <w:gridSpan w:val="2"/>
          </w:tcPr>
          <w:p>
            <w:pPr>
              <w:jc w:val="right"/>
              <w:ind w:right="606"/>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0.96</w:t>
            </w:r>
          </w:p>
        </w:tc>
        <w:tc>
          <w:tcPr>
            <w:tcW w:w="260" w:type="dxa"/>
            <w:vAlign w:val="bottom"/>
            <w:gridSpan w:val="2"/>
          </w:tcPr>
          <w:p>
            <w:pPr>
              <w:jc w:val="right"/>
              <w:ind w:right="130"/>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0.43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Reconciling items per common unit </w:t>
            </w:r>
            <w:r>
              <w:rPr>
                <w:rFonts w:ascii="Arial" w:cs="Arial" w:eastAsia="Arial" w:hAnsi="Arial"/>
                <w:sz w:val="23"/>
                <w:szCs w:val="23"/>
                <w:color w:val="auto"/>
                <w:vertAlign w:val="superscript"/>
              </w:rPr>
              <w:t>(1) (2)</w:t>
            </w:r>
          </w:p>
        </w:tc>
        <w:tc>
          <w:tcPr>
            <w:tcW w:w="6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0.86</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Implied DCF per common unit</w:t>
            </w:r>
          </w:p>
        </w:tc>
        <w:tc>
          <w:tcPr>
            <w:tcW w:w="680" w:type="dxa"/>
            <w:vAlign w:val="bottom"/>
            <w:tcBorders>
              <w:bottom w:val="single" w:sz="8" w:color="CCEEFF"/>
            </w:tcBorders>
          </w:tcPr>
          <w:p>
            <w:pPr>
              <w:spacing w:after="0"/>
              <w:rPr>
                <w:sz w:val="21"/>
                <w:szCs w:val="21"/>
                <w:color w:val="auto"/>
              </w:rPr>
            </w:pPr>
          </w:p>
        </w:tc>
        <w:tc>
          <w:tcPr>
            <w:tcW w:w="760" w:type="dxa"/>
            <w:vAlign w:val="bottom"/>
            <w:tcBorders>
              <w:top w:val="single" w:sz="8" w:color="auto"/>
              <w:bottom w:val="single" w:sz="8" w:color="auto"/>
            </w:tcBorders>
          </w:tcPr>
          <w:p>
            <w:pPr>
              <w:jc w:val="right"/>
              <w:ind w:right="606"/>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2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0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Basic net income per common unit</w:t>
            </w:r>
          </w:p>
        </w:tc>
        <w:tc>
          <w:tcPr>
            <w:tcW w:w="1440" w:type="dxa"/>
            <w:vAlign w:val="bottom"/>
            <w:gridSpan w:val="2"/>
          </w:tcPr>
          <w:p>
            <w:pPr>
              <w:jc w:val="right"/>
              <w:ind w:right="606"/>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0.96</w:t>
            </w:r>
          </w:p>
        </w:tc>
        <w:tc>
          <w:tcPr>
            <w:tcW w:w="260" w:type="dxa"/>
            <w:vAlign w:val="bottom"/>
            <w:gridSpan w:val="2"/>
          </w:tcPr>
          <w:p>
            <w:pPr>
              <w:jc w:val="right"/>
              <w:ind w:right="130"/>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0.43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Reconciling items per common unit and common equivalent unit </w:t>
            </w:r>
            <w:r>
              <w:rPr>
                <w:rFonts w:ascii="Arial" w:cs="Arial" w:eastAsia="Arial" w:hAnsi="Arial"/>
                <w:sz w:val="23"/>
                <w:szCs w:val="23"/>
                <w:color w:val="auto"/>
                <w:vertAlign w:val="superscript"/>
              </w:rPr>
              <w:t>(1) (3)</w:t>
            </w:r>
          </w:p>
        </w:tc>
        <w:tc>
          <w:tcPr>
            <w:tcW w:w="6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0.71</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Implied DCF per common unit and common equivalent unit</w:t>
            </w:r>
          </w:p>
        </w:tc>
        <w:tc>
          <w:tcPr>
            <w:tcW w:w="68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ind w:right="606"/>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460" w:hanging="332"/>
        <w:spacing w:after="0" w:line="227" w:lineRule="auto"/>
        <w:tabs>
          <w:tab w:leader="none" w:pos="328" w:val="left"/>
        </w:tabs>
        <w:numPr>
          <w:ilvl w:val="0"/>
          <w:numId w:val="16"/>
        </w:numPr>
        <w:rPr>
          <w:rFonts w:ascii="Arial" w:cs="Arial" w:eastAsia="Arial" w:hAnsi="Arial"/>
          <w:sz w:val="23"/>
          <w:szCs w:val="23"/>
          <w:color w:val="auto"/>
          <w:vertAlign w:val="superscript"/>
        </w:rPr>
      </w:pPr>
      <w:r>
        <w:rPr>
          <w:rFonts w:ascii="Arial" w:cs="Arial" w:eastAsia="Arial" w:hAnsi="Arial"/>
          <w:sz w:val="18"/>
          <w:szCs w:val="18"/>
          <w:color w:val="auto"/>
        </w:rPr>
        <w:t>Represents adjustments to Net Income to calculate Implied DCF Available to Common Unitholders. See the “Net Income to Adjusted EBITDA and Implied DCF Reconciliation” table for additional information.</w:t>
      </w:r>
    </w:p>
    <w:p>
      <w:pPr>
        <w:ind w:left="320" w:hanging="312"/>
        <w:spacing w:after="0" w:line="196" w:lineRule="auto"/>
        <w:tabs>
          <w:tab w:leader="none" w:pos="320" w:val="left"/>
        </w:tabs>
        <w:numPr>
          <w:ilvl w:val="0"/>
          <w:numId w:val="16"/>
        </w:numPr>
        <w:rPr>
          <w:rFonts w:ascii="Arial" w:cs="Arial" w:eastAsia="Arial" w:hAnsi="Arial"/>
          <w:sz w:val="23"/>
          <w:szCs w:val="23"/>
          <w:color w:val="auto"/>
          <w:vertAlign w:val="superscript"/>
        </w:rPr>
      </w:pPr>
      <w:r>
        <w:rPr>
          <w:rFonts w:ascii="Arial" w:cs="Arial" w:eastAsia="Arial" w:hAnsi="Arial"/>
          <w:sz w:val="18"/>
          <w:szCs w:val="18"/>
          <w:color w:val="auto"/>
        </w:rPr>
        <w:t>Based on weighted average common units outstanding for the period of 717 million and 464 million, respectively.</w:t>
      </w:r>
    </w:p>
    <w:p>
      <w:pPr>
        <w:spacing w:after="0" w:line="1" w:lineRule="exact"/>
        <w:rPr>
          <w:rFonts w:ascii="Arial" w:cs="Arial" w:eastAsia="Arial" w:hAnsi="Arial"/>
          <w:sz w:val="23"/>
          <w:szCs w:val="23"/>
          <w:color w:val="auto"/>
          <w:vertAlign w:val="superscript"/>
        </w:rPr>
      </w:pPr>
    </w:p>
    <w:p>
      <w:pPr>
        <w:ind w:left="340" w:right="200" w:hanging="332"/>
        <w:spacing w:after="0" w:line="219" w:lineRule="auto"/>
        <w:tabs>
          <w:tab w:leader="none" w:pos="328" w:val="left"/>
        </w:tabs>
        <w:numPr>
          <w:ilvl w:val="0"/>
          <w:numId w:val="16"/>
        </w:numPr>
        <w:rPr>
          <w:rFonts w:ascii="Arial" w:cs="Arial" w:eastAsia="Arial" w:hAnsi="Arial"/>
          <w:sz w:val="23"/>
          <w:szCs w:val="23"/>
          <w:color w:val="auto"/>
          <w:vertAlign w:val="superscript"/>
        </w:rPr>
      </w:pPr>
      <w:r>
        <w:rPr>
          <w:rFonts w:ascii="Arial" w:cs="Arial" w:eastAsia="Arial" w:hAnsi="Arial"/>
          <w:sz w:val="18"/>
          <w:szCs w:val="18"/>
          <w:color w:val="auto"/>
        </w:rPr>
        <w:t>Based on weighted average common units outstanding for the period, as well as weighted average Series A preferred units outstanding for the period of 67 million and 58 million, respectively.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Segment Adjusted EBITDA to Segment Adjusted EBITDA further adjusted for impact of divested assets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3"/>
              </w:rPr>
              <w:t>Three Months Ended</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6"/>
              </w:rPr>
              <w:t>March 31, 2018</w:t>
            </w: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6"/>
              </w:rPr>
              <w:t>March 31, 2017</w:t>
            </w: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w w:val="93"/>
              </w:rPr>
              <w:t>Transportation</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Facilities</w:t>
            </w:r>
          </w:p>
        </w:tc>
        <w:tc>
          <w:tcPr>
            <w:tcW w:w="80" w:type="dxa"/>
            <w:vAlign w:val="bottom"/>
          </w:tcPr>
          <w:p>
            <w:pPr>
              <w:spacing w:after="0"/>
              <w:rPr>
                <w:sz w:val="10"/>
                <w:szCs w:val="10"/>
                <w:color w:val="auto"/>
              </w:rPr>
            </w:pPr>
          </w:p>
        </w:tc>
        <w:tc>
          <w:tcPr>
            <w:tcW w:w="94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Supply and</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93"/>
              </w:rPr>
              <w:t>Transportation</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0"/>
              </w:rPr>
              <w:t>Facilities</w:t>
            </w:r>
          </w:p>
        </w:tc>
        <w:tc>
          <w:tcPr>
            <w:tcW w:w="160" w:type="dxa"/>
            <w:vAlign w:val="bottom"/>
          </w:tcPr>
          <w:p>
            <w:pPr>
              <w:spacing w:after="0"/>
              <w:rPr>
                <w:sz w:val="10"/>
                <w:szCs w:val="10"/>
                <w:color w:val="auto"/>
              </w:rPr>
            </w:pPr>
          </w:p>
        </w:tc>
        <w:tc>
          <w:tcPr>
            <w:tcW w:w="980" w:type="dxa"/>
            <w:vAlign w:val="bottom"/>
          </w:tcPr>
          <w:p>
            <w:pPr>
              <w:jc w:val="center"/>
              <w:ind w:right="78"/>
              <w:spacing w:after="0" w:line="119" w:lineRule="exact"/>
              <w:rPr>
                <w:sz w:val="20"/>
                <w:szCs w:val="20"/>
                <w:color w:val="auto"/>
              </w:rPr>
            </w:pPr>
            <w:r>
              <w:rPr>
                <w:rFonts w:ascii="Arial" w:cs="Arial" w:eastAsia="Arial" w:hAnsi="Arial"/>
                <w:sz w:val="13"/>
                <w:szCs w:val="13"/>
                <w:b w:val="1"/>
                <w:bCs w:val="1"/>
                <w:color w:val="auto"/>
                <w:w w:val="99"/>
              </w:rPr>
              <w:t>Supply and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ind w:right="29"/>
              <w:spacing w:after="0"/>
              <w:rPr>
                <w:sz w:val="20"/>
                <w:szCs w:val="20"/>
                <w:color w:val="auto"/>
              </w:rPr>
            </w:pPr>
            <w:r>
              <w:rPr>
                <w:rFonts w:ascii="Arial" w:cs="Arial" w:eastAsia="Arial" w:hAnsi="Arial"/>
                <w:sz w:val="14"/>
                <w:szCs w:val="14"/>
                <w:b w:val="1"/>
                <w:bCs w:val="1"/>
                <w:color w:val="auto"/>
              </w:rPr>
              <w:t>Logistics</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Logistics</w:t>
            </w:r>
          </w:p>
        </w:tc>
        <w:tc>
          <w:tcPr>
            <w:tcW w:w="0" w:type="dxa"/>
            <w:vAlign w:val="bottom"/>
          </w:tcPr>
          <w:p>
            <w:pPr>
              <w:spacing w:after="0"/>
              <w:rPr>
                <w:sz w:val="1"/>
                <w:szCs w:val="1"/>
                <w:color w:val="auto"/>
              </w:rPr>
            </w:pPr>
          </w:p>
        </w:tc>
      </w:tr>
      <w:tr>
        <w:trPr>
          <w:trHeight w:val="210"/>
        </w:trPr>
        <w:tc>
          <w:tcPr>
            <w:tcW w:w="32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Segment Adjusted EBITDA</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ind w:right="789"/>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72</w:t>
            </w:r>
          </w:p>
        </w:tc>
        <w:tc>
          <w:tcPr>
            <w:tcW w:w="180" w:type="dxa"/>
            <w:vAlign w:val="bottom"/>
            <w:tcBorders>
              <w:top w:val="single" w:sz="8" w:color="CCEEFF"/>
              <w:bottom w:val="single" w:sz="8" w:color="CCEEFF"/>
              <w:right w:val="single" w:sz="8" w:color="auto"/>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22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0" w:type="dxa"/>
            <w:vAlign w:val="bottom"/>
            <w:vMerge w:val="restart"/>
          </w:tcPr>
          <w:p>
            <w:pPr>
              <w:spacing w:after="0" w:line="236" w:lineRule="exact"/>
              <w:rPr>
                <w:sz w:val="20"/>
                <w:szCs w:val="20"/>
                <w:color w:val="auto"/>
              </w:rPr>
            </w:pPr>
            <w:r>
              <w:rPr>
                <w:rFonts w:ascii="Arial" w:cs="Arial" w:eastAsia="Arial" w:hAnsi="Arial"/>
                <w:sz w:val="18"/>
                <w:szCs w:val="18"/>
                <w:color w:val="auto"/>
              </w:rPr>
              <w:t xml:space="preserve">Impact of divested assets </w:t>
            </w:r>
            <w:r>
              <w:rPr>
                <w:rFonts w:ascii="Arial" w:cs="Arial" w:eastAsia="Arial" w:hAnsi="Arial"/>
                <w:sz w:val="23"/>
                <w:szCs w:val="23"/>
                <w:color w:val="auto"/>
                <w:vertAlign w:val="superscript"/>
              </w:rPr>
              <w:t>(1)</w:t>
            </w: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right w:val="single" w:sz="8" w:color="auto"/>
            </w:tcBorders>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2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b w:val="1"/>
                <w:bCs w:val="1"/>
                <w:i w:val="1"/>
                <w:iCs w:val="1"/>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Arial" w:cs="Arial" w:eastAsia="Arial" w:hAnsi="Arial"/>
                <w:sz w:val="18"/>
                <w:szCs w:val="18"/>
                <w:b w:val="1"/>
                <w:bCs w:val="1"/>
                <w:i w:val="1"/>
                <w:iCs w:val="1"/>
                <w:color w:val="auto"/>
              </w:rPr>
              <w:t>—</w:t>
            </w:r>
          </w:p>
        </w:tc>
        <w:tc>
          <w:tcPr>
            <w:tcW w:w="1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jc w:val="right"/>
              <w:spacing w:after="0" w:line="196" w:lineRule="exact"/>
              <w:rPr>
                <w:sz w:val="20"/>
                <w:szCs w:val="20"/>
                <w:color w:val="auto"/>
              </w:rPr>
            </w:pPr>
            <w:r>
              <w:rPr>
                <w:rFonts w:ascii="Arial" w:cs="Arial" w:eastAsia="Arial" w:hAnsi="Arial"/>
                <w:sz w:val="18"/>
                <w:szCs w:val="18"/>
                <w:b w:val="1"/>
                <w:bCs w:val="1"/>
                <w:i w:val="1"/>
                <w:iCs w:val="1"/>
                <w:color w:val="auto"/>
              </w:rPr>
              <w:t>—</w:t>
            </w:r>
          </w:p>
        </w:tc>
        <w:tc>
          <w:tcPr>
            <w:tcW w:w="180" w:type="dxa"/>
            <w:vAlign w:val="bottom"/>
            <w:tcBorders>
              <w:right w:val="single" w:sz="8" w:color="auto"/>
            </w:tcBorders>
            <w:vMerge w:val="continue"/>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c>
          <w:tcPr>
            <w:tcW w:w="2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0" w:type="dxa"/>
            <w:vAlign w:val="bottom"/>
            <w:vMerge w:val="restart"/>
            <w:shd w:val="clear" w:color="auto" w:fill="CCEEFF"/>
          </w:tcPr>
          <w:p>
            <w:pPr>
              <w:spacing w:after="0" w:line="201" w:lineRule="exact"/>
              <w:rPr>
                <w:sz w:val="20"/>
                <w:szCs w:val="20"/>
                <w:color w:val="auto"/>
              </w:rPr>
            </w:pPr>
            <w:r>
              <w:rPr>
                <w:rFonts w:ascii="Arial" w:cs="Arial" w:eastAsia="Arial" w:hAnsi="Arial"/>
                <w:sz w:val="18"/>
                <w:szCs w:val="18"/>
                <w:color w:val="auto"/>
              </w:rPr>
              <w:t>Segment Adjusted EBITDA further</w:t>
            </w:r>
          </w:p>
        </w:tc>
        <w:tc>
          <w:tcPr>
            <w:tcW w:w="120" w:type="dxa"/>
            <w:vAlign w:val="bottom"/>
            <w:shd w:val="clear" w:color="auto" w:fill="000000"/>
          </w:tcPr>
          <w:p>
            <w:pPr>
              <w:spacing w:after="0" w:line="20" w:lineRule="exact"/>
              <w:rPr>
                <w:sz w:val="1"/>
                <w:szCs w:val="1"/>
                <w:color w:val="auto"/>
              </w:rPr>
            </w:pPr>
          </w:p>
        </w:tc>
        <w:tc>
          <w:tcPr>
            <w:tcW w:w="112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200" w:type="dxa"/>
            <w:vAlign w:val="bottom"/>
            <w:vMerge w:val="continue"/>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185</w:t>
            </w:r>
          </w:p>
        </w:tc>
        <w:tc>
          <w:tcPr>
            <w:tcW w:w="1020" w:type="dxa"/>
            <w:vAlign w:val="bottom"/>
            <w:gridSpan w:val="2"/>
            <w:vMerge w:val="restart"/>
            <w:shd w:val="clear" w:color="auto" w:fill="CCEEFF"/>
          </w:tcPr>
          <w:p>
            <w:pPr>
              <w:jc w:val="right"/>
              <w:ind w:right="789"/>
              <w:spacing w:after="0"/>
              <w:rPr>
                <w:sz w:val="20"/>
                <w:szCs w:val="20"/>
                <w:color w:val="auto"/>
              </w:rPr>
            </w:pPr>
            <w:r>
              <w:rPr>
                <w:rFonts w:ascii="Arial" w:cs="Arial" w:eastAsia="Arial" w:hAnsi="Arial"/>
                <w:sz w:val="18"/>
                <w:szCs w:val="18"/>
                <w:color w:val="auto"/>
              </w:rPr>
              <w:t>$</w:t>
            </w:r>
          </w:p>
        </w:tc>
        <w:tc>
          <w:tcPr>
            <w:tcW w:w="40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w w:val="99"/>
              </w:rPr>
              <w:t>72</w:t>
            </w:r>
          </w:p>
        </w:tc>
        <w:tc>
          <w:tcPr>
            <w:tcW w:w="2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265</w:t>
            </w:r>
          </w:p>
        </w:tc>
        <w:tc>
          <w:tcPr>
            <w:tcW w:w="2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CCEEFF"/>
            </w:tcBorders>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176</w:t>
            </w:r>
          </w:p>
        </w:tc>
        <w:tc>
          <w:tcPr>
            <w:tcW w:w="160" w:type="dxa"/>
            <w:vAlign w:val="bottom"/>
            <w:vMerge w:val="restart"/>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7"/>
        </w:trPr>
        <w:tc>
          <w:tcPr>
            <w:tcW w:w="32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adjusted for impact of divested assets</w:t>
            </w:r>
          </w:p>
        </w:tc>
        <w:tc>
          <w:tcPr>
            <w:tcW w:w="120" w:type="dxa"/>
            <w:vAlign w:val="bottom"/>
            <w:vMerge w:val="continue"/>
            <w:shd w:val="clear" w:color="auto" w:fill="CCEEFF"/>
          </w:tcPr>
          <w:p>
            <w:pPr>
              <w:spacing w:after="0"/>
              <w:rPr>
                <w:sz w:val="18"/>
                <w:szCs w:val="18"/>
                <w:color w:val="auto"/>
              </w:rPr>
            </w:pPr>
          </w:p>
        </w:tc>
        <w:tc>
          <w:tcPr>
            <w:tcW w:w="1120" w:type="dxa"/>
            <w:vAlign w:val="bottom"/>
            <w:tcBorders>
              <w:right w:val="single" w:sz="8" w:color="CCEEFF"/>
            </w:tcBorders>
            <w:vMerge w:val="continue"/>
            <w:shd w:val="clear" w:color="auto" w:fill="CCEEFF"/>
          </w:tcPr>
          <w:p>
            <w:pPr>
              <w:spacing w:after="0"/>
              <w:rPr>
                <w:sz w:val="18"/>
                <w:szCs w:val="18"/>
                <w:color w:val="auto"/>
              </w:rPr>
            </w:pPr>
          </w:p>
        </w:tc>
        <w:tc>
          <w:tcPr>
            <w:tcW w:w="260" w:type="dxa"/>
            <w:vAlign w:val="bottom"/>
            <w:gridSpan w:val="2"/>
            <w:vMerge w:val="continue"/>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400" w:type="dxa"/>
            <w:vAlign w:val="bottom"/>
            <w:tcBorders>
              <w:right w:val="single" w:sz="8" w:color="auto"/>
            </w:tcBorders>
            <w:gridSpan w:val="2"/>
            <w:vMerge w:val="continue"/>
            <w:shd w:val="clear" w:color="auto" w:fill="CCEEFF"/>
          </w:tcPr>
          <w:p>
            <w:pPr>
              <w:spacing w:after="0"/>
              <w:rPr>
                <w:sz w:val="18"/>
                <w:szCs w:val="18"/>
                <w:color w:val="auto"/>
              </w:rPr>
            </w:pPr>
          </w:p>
        </w:tc>
        <w:tc>
          <w:tcPr>
            <w:tcW w:w="240" w:type="dxa"/>
            <w:vAlign w:val="bottom"/>
            <w:gridSpan w:val="2"/>
            <w:vMerge w:val="continue"/>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220" w:type="dxa"/>
            <w:vAlign w:val="bottom"/>
            <w:gridSpan w:val="2"/>
            <w:vMerge w:val="continue"/>
            <w:shd w:val="clear" w:color="auto" w:fill="CCEEFF"/>
          </w:tcPr>
          <w:p>
            <w:pPr>
              <w:spacing w:after="0"/>
              <w:rPr>
                <w:sz w:val="18"/>
                <w:szCs w:val="18"/>
                <w:color w:val="auto"/>
              </w:rPr>
            </w:pPr>
          </w:p>
        </w:tc>
        <w:tc>
          <w:tcPr>
            <w:tcW w:w="1260" w:type="dxa"/>
            <w:vAlign w:val="bottom"/>
            <w:tcBorders>
              <w:right w:val="single" w:sz="8" w:color="CCEEFF"/>
            </w:tcBorders>
            <w:gridSpan w:val="2"/>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205740</wp:posOffset>
            </wp:positionV>
            <wp:extent cx="177546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775460"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220" w:hanging="332"/>
        <w:spacing w:after="0" w:line="234" w:lineRule="auto"/>
        <w:tabs>
          <w:tab w:leader="none" w:pos="328" w:val="left"/>
        </w:tabs>
        <w:numPr>
          <w:ilvl w:val="0"/>
          <w:numId w:val="17"/>
        </w:numPr>
        <w:rPr>
          <w:rFonts w:ascii="Arial" w:cs="Arial" w:eastAsia="Arial" w:hAnsi="Arial"/>
          <w:sz w:val="23"/>
          <w:szCs w:val="23"/>
          <w:color w:val="auto"/>
          <w:vertAlign w:val="superscript"/>
        </w:rPr>
      </w:pPr>
      <w:r>
        <w:rPr>
          <w:rFonts w:ascii="Arial" w:cs="Arial" w:eastAsia="Arial" w:hAnsi="Arial"/>
          <w:sz w:val="18"/>
          <w:szCs w:val="18"/>
          <w:color w:val="auto"/>
        </w:rPr>
        <w:t>Estimated impact of divestitures completed during 2017, assuming an effective date of 1/1/17. Divested assets include certain non-core pipelines in the Rocky Mountain and Central regions previously reported in our Transportation segment, and certain Bay Area, California terminal assets and the Bluewater natural gas storage facility previously reported in our Facilities segment.</w:t>
      </w:r>
    </w:p>
    <w:p>
      <w:pPr>
        <w:spacing w:after="0" w:line="202" w:lineRule="exact"/>
        <w:rPr>
          <w:rFonts w:ascii="Arial" w:cs="Arial" w:eastAsia="Arial" w:hAnsi="Arial"/>
          <w:sz w:val="23"/>
          <w:szCs w:val="23"/>
          <w:color w:val="auto"/>
          <w:vertAlign w:val="superscript"/>
        </w:rPr>
      </w:pPr>
    </w:p>
    <w:p>
      <w:pPr>
        <w:ind w:left="5520" w:hanging="96"/>
        <w:spacing w:after="0"/>
        <w:tabs>
          <w:tab w:leader="none" w:pos="55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more -</w:t>
      </w:r>
    </w:p>
    <w:p>
      <w:pPr>
        <w:sectPr>
          <w:pgSz w:w="11900" w:h="16838" w:orient="portrait"/>
          <w:cols w:equalWidth="0" w:num="1">
            <w:col w:w="11420"/>
          </w:cols>
          <w:pgMar w:left="240" w:top="341" w:right="239" w:bottom="0" w:gutter="0" w:footer="0" w:header="0"/>
        </w:sectPr>
      </w:pPr>
    </w:p>
    <w:bookmarkStart w:id="14" w:name="page15"/>
    <w:bookmarkEnd w:id="14"/>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COMPUTATION OF BASIC AND DILUTED ADJUSTED NET INCOME PER COMMON UNIT</w:t>
      </w:r>
      <w:r>
        <w:rPr>
          <w:rFonts w:ascii="Arial" w:cs="Arial" w:eastAsia="Arial" w:hAnsi="Arial"/>
          <w:sz w:val="18"/>
          <w:szCs w:val="18"/>
          <w:b w:val="1"/>
          <w:bCs w:val="1"/>
          <w:color w:val="auto"/>
        </w:rPr>
        <w:t xml:space="preserve"> </w:t>
      </w:r>
      <w:r>
        <w:rPr>
          <w:rFonts w:ascii="Arial" w:cs="Arial" w:eastAsia="Arial" w:hAnsi="Arial"/>
          <w:sz w:val="23"/>
          <w:szCs w:val="23"/>
          <w:b w:val="1"/>
          <w:bCs w:val="1"/>
          <w:color w:val="auto"/>
          <w:vertAlign w:val="superscript"/>
        </w:rPr>
        <w:t>(1)</w:t>
      </w:r>
    </w:p>
    <w:p>
      <w:pPr>
        <w:spacing w:after="0"/>
        <w:rPr>
          <w:sz w:val="20"/>
          <w:szCs w:val="20"/>
          <w:color w:val="auto"/>
        </w:rPr>
      </w:pPr>
      <w:r>
        <w:rPr>
          <w:rFonts w:ascii="Arial" w:cs="Arial" w:eastAsia="Arial" w:hAnsi="Arial"/>
          <w:sz w:val="18"/>
          <w:szCs w:val="18"/>
          <w:color w:val="auto"/>
        </w:rPr>
        <w:t>(in millions, except per unit data)</w:t>
      </w:r>
    </w:p>
    <w:p>
      <w:pPr>
        <w:spacing w:after="0" w:line="201" w:lineRule="exact"/>
        <w:rPr>
          <w:sz w:val="20"/>
          <w:szCs w:val="20"/>
          <w:color w:val="auto"/>
        </w:rPr>
      </w:pPr>
    </w:p>
    <w:p>
      <w:pPr>
        <w:jc w:val="center"/>
        <w:ind w:left="8660"/>
        <w:spacing w:after="0"/>
        <w:rPr>
          <w:sz w:val="20"/>
          <w:szCs w:val="20"/>
          <w:color w:val="auto"/>
        </w:rPr>
      </w:pPr>
      <w:r>
        <w:rPr>
          <w:rFonts w:ascii="Arial" w:cs="Arial" w:eastAsia="Arial" w:hAnsi="Arial"/>
          <w:sz w:val="14"/>
          <w:szCs w:val="14"/>
          <w:b w:val="1"/>
          <w:bCs w:val="1"/>
          <w:color w:val="auto"/>
        </w:rPr>
        <w:t>Three Months Ended</w:t>
      </w:r>
    </w:p>
    <w:p>
      <w:pPr>
        <w:jc w:val="center"/>
        <w:ind w:left="866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800" w:type="dxa"/>
            <w:vAlign w:val="bottom"/>
            <w:tcBorders>
              <w:bottom w:val="single" w:sz="8" w:color="CCEEFF"/>
            </w:tcBorders>
          </w:tcPr>
          <w:p>
            <w:pPr>
              <w:spacing w:after="0"/>
              <w:rPr>
                <w:sz w:val="12"/>
                <w:szCs w:val="12"/>
                <w:color w:val="auto"/>
              </w:rPr>
            </w:pPr>
          </w:p>
        </w:tc>
        <w:tc>
          <w:tcPr>
            <w:tcW w:w="194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38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51"/>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Basic Adjusted Net Income per Common Unit</w:t>
            </w:r>
          </w:p>
        </w:tc>
        <w:tc>
          <w:tcPr>
            <w:tcW w:w="19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Net income</w:t>
            </w:r>
          </w:p>
        </w:tc>
        <w:tc>
          <w:tcPr>
            <w:tcW w:w="2700" w:type="dxa"/>
            <w:vAlign w:val="bottom"/>
            <w:gridSpan w:val="2"/>
          </w:tcPr>
          <w:p>
            <w:pPr>
              <w:jc w:val="right"/>
              <w:ind w:right="606"/>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288</w:t>
            </w:r>
          </w:p>
        </w:tc>
        <w:tc>
          <w:tcPr>
            <w:tcW w:w="260" w:type="dxa"/>
            <w:vAlign w:val="bottom"/>
            <w:gridSpan w:val="2"/>
          </w:tcPr>
          <w:p>
            <w:pPr>
              <w:jc w:val="right"/>
              <w:ind w:right="130"/>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444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Selected items impacting comparability - Adjusted net income </w:t>
            </w:r>
            <w:r>
              <w:rPr>
                <w:rFonts w:ascii="Arial" w:cs="Arial" w:eastAsia="Arial" w:hAnsi="Arial"/>
                <w:sz w:val="23"/>
                <w:szCs w:val="23"/>
                <w:color w:val="auto"/>
                <w:vertAlign w:val="superscript"/>
              </w:rPr>
              <w:t>(2)</w:t>
            </w:r>
          </w:p>
        </w:tc>
        <w:tc>
          <w:tcPr>
            <w:tcW w:w="19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Adjusted net income</w:t>
            </w:r>
          </w:p>
        </w:tc>
        <w:tc>
          <w:tcPr>
            <w:tcW w:w="1940" w:type="dxa"/>
            <w:vAlign w:val="bottom"/>
          </w:tcPr>
          <w:p>
            <w:pPr>
              <w:spacing w:after="0"/>
              <w:rPr>
                <w:sz w:val="18"/>
                <w:szCs w:val="18"/>
                <w:color w:val="auto"/>
              </w:rPr>
            </w:pPr>
          </w:p>
        </w:tc>
        <w:tc>
          <w:tcPr>
            <w:tcW w:w="760" w:type="dxa"/>
            <w:vAlign w:val="bottom"/>
            <w:tcBorders>
              <w:top w:val="single" w:sz="8" w:color="auto"/>
            </w:tcBorders>
          </w:tcPr>
          <w:p>
            <w:pPr>
              <w:jc w:val="right"/>
              <w:ind w:right="606"/>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310</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Distributions to Series A preferred unitholders</w:t>
            </w:r>
          </w:p>
        </w:tc>
        <w:tc>
          <w:tcPr>
            <w:tcW w:w="19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160"/>
              <w:spacing w:after="0"/>
              <w:rPr>
                <w:sz w:val="20"/>
                <w:szCs w:val="20"/>
                <w:color w:val="auto"/>
              </w:rPr>
            </w:pPr>
            <w:r>
              <w:rPr>
                <w:rFonts w:ascii="Arial" w:cs="Arial" w:eastAsia="Arial" w:hAnsi="Arial"/>
                <w:sz w:val="18"/>
                <w:szCs w:val="18"/>
                <w:color w:val="auto"/>
              </w:rPr>
              <w:t>Distributions to Series B preferred unitholders</w:t>
            </w:r>
          </w:p>
        </w:tc>
        <w:tc>
          <w:tcPr>
            <w:tcW w:w="19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19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8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Adjusted net income allocated to common unitholders</w:t>
            </w:r>
          </w:p>
        </w:tc>
        <w:tc>
          <w:tcPr>
            <w:tcW w:w="1940" w:type="dxa"/>
            <w:vAlign w:val="bottom"/>
            <w:tcBorders>
              <w:bottom w:val="single" w:sz="8" w:color="CCEEFF"/>
            </w:tcBorders>
          </w:tcPr>
          <w:p>
            <w:pPr>
              <w:spacing w:after="0"/>
              <w:rPr>
                <w:sz w:val="21"/>
                <w:szCs w:val="21"/>
                <w:color w:val="auto"/>
              </w:rPr>
            </w:pPr>
          </w:p>
        </w:tc>
        <w:tc>
          <w:tcPr>
            <w:tcW w:w="760" w:type="dxa"/>
            <w:vAlign w:val="bottom"/>
            <w:tcBorders>
              <w:top w:val="single" w:sz="8" w:color="auto"/>
              <w:bottom w:val="single" w:sz="8" w:color="auto"/>
            </w:tcBorders>
          </w:tcPr>
          <w:p>
            <w:pPr>
              <w:jc w:val="right"/>
              <w:ind w:right="606"/>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w:t>
            </w:r>
          </w:p>
        </w:tc>
        <w:tc>
          <w:tcPr>
            <w:tcW w:w="2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80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Basic weighted average common units outstanding</w:t>
            </w:r>
          </w:p>
        </w:tc>
        <w:tc>
          <w:tcPr>
            <w:tcW w:w="19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725</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691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Basic adjusted net income per common unit</w:t>
            </w:r>
          </w:p>
        </w:tc>
        <w:tc>
          <w:tcPr>
            <w:tcW w:w="2700" w:type="dxa"/>
            <w:vAlign w:val="bottom"/>
            <w:gridSpan w:val="2"/>
          </w:tcPr>
          <w:p>
            <w:pPr>
              <w:jc w:val="right"/>
              <w:ind w:right="606"/>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0.36</w:t>
            </w:r>
          </w:p>
        </w:tc>
        <w:tc>
          <w:tcPr>
            <w:tcW w:w="260" w:type="dxa"/>
            <w:vAlign w:val="bottom"/>
            <w:gridSpan w:val="2"/>
          </w:tcPr>
          <w:p>
            <w:pPr>
              <w:jc w:val="right"/>
              <w:ind w:right="130"/>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0.27</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800" w:type="dxa"/>
            <w:vAlign w:val="bottom"/>
            <w:tcBorders>
              <w:top w:val="single" w:sz="8" w:color="CCEEFF"/>
            </w:tcBorders>
            <w:shd w:val="clear" w:color="auto" w:fill="CCEEFF"/>
          </w:tcPr>
          <w:p>
            <w:pPr>
              <w:spacing w:after="0"/>
              <w:rPr>
                <w:sz w:val="17"/>
                <w:szCs w:val="17"/>
                <w:color w:val="auto"/>
              </w:rPr>
            </w:pPr>
          </w:p>
        </w:tc>
        <w:tc>
          <w:tcPr>
            <w:tcW w:w="19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b w:val="1"/>
                <w:bCs w:val="1"/>
                <w:color w:val="auto"/>
              </w:rPr>
              <w:t>Diluted Adjusted Net Income per Common Unit</w:t>
            </w:r>
          </w:p>
        </w:tc>
        <w:tc>
          <w:tcPr>
            <w:tcW w:w="19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700" w:type="dxa"/>
            <w:vAlign w:val="bottom"/>
            <w:gridSpan w:val="2"/>
            <w:shd w:val="clear" w:color="auto" w:fill="CCEEFF"/>
          </w:tcPr>
          <w:p>
            <w:pPr>
              <w:jc w:val="right"/>
              <w:ind w:right="606"/>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288</w:t>
            </w:r>
          </w:p>
        </w:tc>
        <w:tc>
          <w:tcPr>
            <w:tcW w:w="260" w:type="dxa"/>
            <w:vAlign w:val="bottom"/>
            <w:gridSpan w:val="2"/>
            <w:shd w:val="clear" w:color="auto" w:fill="CCEEFF"/>
          </w:tcPr>
          <w:p>
            <w:pPr>
              <w:jc w:val="right"/>
              <w:ind w:right="130"/>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Selected items impacting comparability - Adjusted net income </w:t>
            </w:r>
            <w:r>
              <w:rPr>
                <w:rFonts w:ascii="Arial" w:cs="Arial" w:eastAsia="Arial" w:hAnsi="Arial"/>
                <w:sz w:val="23"/>
                <w:szCs w:val="23"/>
                <w:color w:val="auto"/>
                <w:vertAlign w:val="superscript"/>
              </w:rPr>
              <w:t>(2)</w:t>
            </w:r>
          </w:p>
        </w:tc>
        <w:tc>
          <w:tcPr>
            <w:tcW w:w="19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22</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net income</w:t>
            </w:r>
          </w:p>
        </w:tc>
        <w:tc>
          <w:tcPr>
            <w:tcW w:w="19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ind w:right="606"/>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160"/>
              <w:spacing w:after="0"/>
              <w:rPr>
                <w:sz w:val="20"/>
                <w:szCs w:val="20"/>
                <w:color w:val="auto"/>
              </w:rPr>
            </w:pPr>
            <w:r>
              <w:rPr>
                <w:rFonts w:ascii="Arial" w:cs="Arial" w:eastAsia="Arial" w:hAnsi="Arial"/>
                <w:sz w:val="18"/>
                <w:szCs w:val="18"/>
                <w:color w:val="auto"/>
              </w:rPr>
              <w:t>Distributions to Series A preferred unitholders</w:t>
            </w:r>
          </w:p>
        </w:tc>
        <w:tc>
          <w:tcPr>
            <w:tcW w:w="19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Distributions to Series B preferred unitholders</w:t>
            </w:r>
          </w:p>
        </w:tc>
        <w:tc>
          <w:tcPr>
            <w:tcW w:w="19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160"/>
              <w:spacing w:after="0"/>
              <w:rPr>
                <w:sz w:val="20"/>
                <w:szCs w:val="20"/>
                <w:color w:val="auto"/>
              </w:rPr>
            </w:pPr>
            <w:r>
              <w:rPr>
                <w:rFonts w:ascii="Arial" w:cs="Arial" w:eastAsia="Arial" w:hAnsi="Arial"/>
                <w:sz w:val="18"/>
                <w:szCs w:val="18"/>
                <w:color w:val="auto"/>
              </w:rPr>
              <w:t>Other</w:t>
            </w:r>
          </w:p>
        </w:tc>
        <w:tc>
          <w:tcPr>
            <w:tcW w:w="19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net income allocated to common unitholders</w:t>
            </w:r>
          </w:p>
        </w:tc>
        <w:tc>
          <w:tcPr>
            <w:tcW w:w="194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ind w:right="606"/>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8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common units outstanding</w:t>
            </w:r>
          </w:p>
        </w:tc>
        <w:tc>
          <w:tcPr>
            <w:tcW w:w="19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725</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19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Equity-indexed compensation plan awards </w:t>
            </w:r>
            <w:r>
              <w:rPr>
                <w:rFonts w:ascii="Arial" w:cs="Arial" w:eastAsia="Arial" w:hAnsi="Arial"/>
                <w:sz w:val="23"/>
                <w:szCs w:val="23"/>
                <w:color w:val="auto"/>
                <w:vertAlign w:val="superscript"/>
              </w:rPr>
              <w:t>(3)</w:t>
            </w:r>
          </w:p>
        </w:tc>
        <w:tc>
          <w:tcPr>
            <w:tcW w:w="19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8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Diluted weighted average common units outstanding</w:t>
            </w:r>
          </w:p>
        </w:tc>
        <w:tc>
          <w:tcPr>
            <w:tcW w:w="1940" w:type="dxa"/>
            <w:vAlign w:val="bottom"/>
            <w:tcBorders>
              <w:bottom w:val="single" w:sz="8" w:color="CCEEFF"/>
            </w:tcBorders>
          </w:tcPr>
          <w:p>
            <w:pPr>
              <w:spacing w:after="0"/>
              <w:rPr>
                <w:sz w:val="21"/>
                <w:szCs w:val="21"/>
                <w:color w:val="auto"/>
              </w:rPr>
            </w:pPr>
          </w:p>
        </w:tc>
        <w:tc>
          <w:tcPr>
            <w:tcW w:w="760" w:type="dxa"/>
            <w:vAlign w:val="bottom"/>
            <w:tcBorders>
              <w:top w:val="single" w:sz="8" w:color="auto"/>
              <w:bottom w:val="single" w:sz="8" w:color="auto"/>
            </w:tcBorders>
          </w:tcPr>
          <w:p>
            <w:pPr>
              <w:spacing w:after="0"/>
              <w:rPr>
                <w:sz w:val="21"/>
                <w:szCs w:val="21"/>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727</w:t>
            </w:r>
          </w:p>
        </w:tc>
        <w:tc>
          <w:tcPr>
            <w:tcW w:w="2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693</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80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tcPr>
          <w:p>
            <w:pPr>
              <w:spacing w:after="0" w:line="216" w:lineRule="exact"/>
              <w:rPr>
                <w:sz w:val="20"/>
                <w:szCs w:val="20"/>
                <w:color w:val="auto"/>
              </w:rPr>
            </w:pPr>
            <w:r>
              <w:rPr>
                <w:rFonts w:ascii="Arial" w:cs="Arial" w:eastAsia="Arial" w:hAnsi="Arial"/>
                <w:sz w:val="18"/>
                <w:szCs w:val="18"/>
                <w:color w:val="auto"/>
              </w:rPr>
              <w:t xml:space="preserve">Diluted adjusted net income per common unit </w:t>
            </w:r>
            <w:r>
              <w:rPr>
                <w:rFonts w:ascii="Arial" w:cs="Arial" w:eastAsia="Arial" w:hAnsi="Arial"/>
                <w:sz w:val="23"/>
                <w:szCs w:val="23"/>
                <w:color w:val="auto"/>
                <w:vertAlign w:val="superscript"/>
              </w:rPr>
              <w:t>(4)</w:t>
            </w:r>
          </w:p>
        </w:tc>
        <w:tc>
          <w:tcPr>
            <w:tcW w:w="2700" w:type="dxa"/>
            <w:vAlign w:val="bottom"/>
            <w:gridSpan w:val="2"/>
          </w:tcPr>
          <w:p>
            <w:pPr>
              <w:jc w:val="right"/>
              <w:ind w:right="606"/>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0.36</w:t>
            </w:r>
          </w:p>
        </w:tc>
        <w:tc>
          <w:tcPr>
            <w:tcW w:w="260" w:type="dxa"/>
            <w:vAlign w:val="bottom"/>
            <w:gridSpan w:val="2"/>
          </w:tcPr>
          <w:p>
            <w:pPr>
              <w:jc w:val="right"/>
              <w:ind w:right="130"/>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0.27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left="340" w:right="120" w:hanging="332"/>
        <w:spacing w:after="0" w:line="238" w:lineRule="auto"/>
        <w:tabs>
          <w:tab w:leader="none" w:pos="328" w:val="left"/>
        </w:tabs>
        <w:numPr>
          <w:ilvl w:val="0"/>
          <w:numId w:val="18"/>
        </w:numPr>
        <w:rPr>
          <w:rFonts w:ascii="Arial" w:cs="Arial" w:eastAsia="Arial" w:hAnsi="Arial"/>
          <w:sz w:val="23"/>
          <w:szCs w:val="23"/>
          <w:color w:val="auto"/>
          <w:vertAlign w:val="superscript"/>
        </w:rPr>
      </w:pPr>
      <w:r>
        <w:rPr>
          <w:rFonts w:ascii="Arial" w:cs="Arial" w:eastAsia="Arial" w:hAnsi="Arial"/>
          <w:sz w:val="18"/>
          <w:szCs w:val="18"/>
          <w:color w:val="auto"/>
        </w:rPr>
        <w:t>We calculate adjusted net income allocated to common unitholders based on the distributions pertaining to the current period’s net income. After adjusting for the appropriate period’s distributions, the remaining undistributed earnings or excess distributions over earnings, if any, are allocated to the common unitholders and participating securities in accordance with the contractual terms of our partnership agreement in effect for the period and as further prescribed under the two-class method.</w:t>
      </w:r>
    </w:p>
    <w:p>
      <w:pPr>
        <w:ind w:left="320" w:hanging="312"/>
        <w:spacing w:after="0" w:line="196" w:lineRule="auto"/>
        <w:tabs>
          <w:tab w:leader="none" w:pos="320" w:val="left"/>
        </w:tabs>
        <w:numPr>
          <w:ilvl w:val="0"/>
          <w:numId w:val="18"/>
        </w:numPr>
        <w:rPr>
          <w:rFonts w:ascii="Arial" w:cs="Arial" w:eastAsia="Arial" w:hAnsi="Arial"/>
          <w:sz w:val="23"/>
          <w:szCs w:val="23"/>
          <w:color w:val="auto"/>
          <w:vertAlign w:val="superscript"/>
        </w:rPr>
      </w:pPr>
      <w:r>
        <w:rPr>
          <w:rFonts w:ascii="Arial" w:cs="Arial" w:eastAsia="Arial" w:hAnsi="Arial"/>
          <w:sz w:val="18"/>
          <w:szCs w:val="18"/>
          <w:color w:val="auto"/>
        </w:rPr>
        <w:t>Certain of our non-GAAP financial measures may not be impacted by each of the selected items impacting comparability.</w:t>
      </w:r>
    </w:p>
    <w:p>
      <w:pPr>
        <w:spacing w:after="0" w:line="1" w:lineRule="exact"/>
        <w:rPr>
          <w:rFonts w:ascii="Arial" w:cs="Arial" w:eastAsia="Arial" w:hAnsi="Arial"/>
          <w:sz w:val="23"/>
          <w:szCs w:val="23"/>
          <w:color w:val="auto"/>
          <w:vertAlign w:val="superscript"/>
        </w:rPr>
      </w:pPr>
    </w:p>
    <w:p>
      <w:pPr>
        <w:ind w:left="340" w:right="60" w:hanging="332"/>
        <w:spacing w:after="0" w:line="236" w:lineRule="auto"/>
        <w:tabs>
          <w:tab w:leader="none" w:pos="328" w:val="left"/>
        </w:tabs>
        <w:numPr>
          <w:ilvl w:val="0"/>
          <w:numId w:val="18"/>
        </w:numPr>
        <w:rPr>
          <w:rFonts w:ascii="Arial" w:cs="Arial" w:eastAsia="Arial" w:hAnsi="Arial"/>
          <w:sz w:val="23"/>
          <w:szCs w:val="23"/>
          <w:color w:val="auto"/>
          <w:vertAlign w:val="superscript"/>
        </w:rPr>
      </w:pPr>
      <w:r>
        <w:rPr>
          <w:rFonts w:ascii="Arial" w:cs="Arial" w:eastAsia="Arial" w:hAnsi="Arial"/>
          <w:sz w:val="18"/>
          <w:szCs w:val="18"/>
          <w:color w:val="auto"/>
        </w:rPr>
        <w:t>Our LTIP awards that contemplate the issuance of common units and certain AAP Management Units that contemplate the issuance of common units to AAP when such AAP Management Units become earned are considered dilutive unless (i) vesting occurs only upon the satisfaction of a performance condition and (ii) that performance condition has yet to be satisfied. LTIP awards and AAP Management Units that are deemed to be dilutive are reduced by a hypothetical unit repurchase based on the remaining unamortized fair value, as prescribed by the treasury stock method in guidance issued by the FASB.</w:t>
      </w:r>
    </w:p>
    <w:p>
      <w:pPr>
        <w:spacing w:after="0" w:line="4" w:lineRule="exact"/>
        <w:rPr>
          <w:rFonts w:ascii="Arial" w:cs="Arial" w:eastAsia="Arial" w:hAnsi="Arial"/>
          <w:sz w:val="23"/>
          <w:szCs w:val="23"/>
          <w:color w:val="auto"/>
          <w:vertAlign w:val="superscript"/>
        </w:rPr>
      </w:pPr>
    </w:p>
    <w:p>
      <w:pPr>
        <w:ind w:left="340" w:right="180" w:hanging="332"/>
        <w:spacing w:after="0" w:line="219" w:lineRule="auto"/>
        <w:tabs>
          <w:tab w:leader="none" w:pos="328" w:val="left"/>
        </w:tabs>
        <w:numPr>
          <w:ilvl w:val="0"/>
          <w:numId w:val="18"/>
        </w:numPr>
        <w:rPr>
          <w:rFonts w:ascii="Arial" w:cs="Arial" w:eastAsia="Arial" w:hAnsi="Arial"/>
          <w:sz w:val="23"/>
          <w:szCs w:val="23"/>
          <w:color w:val="auto"/>
          <w:vertAlign w:val="superscript"/>
        </w:rPr>
      </w:pPr>
      <w:r>
        <w:rPr>
          <w:rFonts w:ascii="Arial" w:cs="Arial" w:eastAsia="Arial" w:hAnsi="Arial"/>
          <w:sz w:val="18"/>
          <w:szCs w:val="18"/>
          <w:color w:val="auto"/>
        </w:rPr>
        <w:t>The possible conversion of our Series A preferred units was excluded from the calculation of diluted adjusted net income per common unit for the three months ended March 31, 2018 and 2017 as the effect was antidilutive.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-1653540</wp:posOffset>
            </wp:positionV>
            <wp:extent cx="231521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CONSOLIDATING STATEMENTS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share data)</w:t>
      </w:r>
    </w:p>
    <w:p>
      <w:pPr>
        <w:sectPr>
          <w:pgSz w:w="11900" w:h="16838" w:orient="portrait"/>
          <w:cols w:equalWidth="0" w:num="1">
            <w:col w:w="11420"/>
          </w:cols>
          <w:pgMar w:left="240" w:top="162" w:right="239" w:bottom="0" w:gutter="0" w:footer="0" w:header="0"/>
        </w:sectPr>
      </w:pPr>
    </w:p>
    <w:p>
      <w:pPr>
        <w:spacing w:after="0" w:line="190" w:lineRule="exact"/>
        <w:rPr>
          <w:sz w:val="20"/>
          <w:szCs w:val="20"/>
          <w:color w:val="auto"/>
        </w:rPr>
      </w:pPr>
    </w:p>
    <w:tbl>
      <w:tblPr>
        <w:tblLayout w:type="fixed"/>
        <w:tblInd w:w="3920" w:type="dxa"/>
        <w:tblCellMar>
          <w:top w:w="0" w:type="dxa"/>
          <w:left w:w="0" w:type="dxa"/>
          <w:bottom w:w="0" w:type="dxa"/>
          <w:right w:w="0" w:type="dxa"/>
        </w:tblCellMar>
      </w:tblPr>
      <w:tr>
        <w:trPr>
          <w:trHeight w:val="161"/>
        </w:trPr>
        <w:tc>
          <w:tcPr>
            <w:tcW w:w="38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Three Months Ended</w:t>
            </w:r>
          </w:p>
        </w:tc>
        <w:tc>
          <w:tcPr>
            <w:tcW w:w="3520" w:type="dxa"/>
            <w:vAlign w:val="bottom"/>
          </w:tcPr>
          <w:p>
            <w:pPr>
              <w:jc w:val="center"/>
              <w:spacing w:after="0"/>
              <w:rPr>
                <w:sz w:val="20"/>
                <w:szCs w:val="20"/>
                <w:color w:val="auto"/>
              </w:rPr>
            </w:pPr>
            <w:r>
              <w:rPr>
                <w:rFonts w:ascii="Arial" w:cs="Arial" w:eastAsia="Arial" w:hAnsi="Arial"/>
                <w:sz w:val="14"/>
                <w:szCs w:val="14"/>
                <w:b w:val="1"/>
                <w:bCs w:val="1"/>
                <w:color w:val="auto"/>
                <w:w w:val="95"/>
              </w:rPr>
              <w:t>Three Months Ended</w:t>
            </w:r>
          </w:p>
        </w:tc>
      </w:tr>
      <w:tr>
        <w:trPr>
          <w:trHeight w:val="171"/>
        </w:trPr>
        <w:tc>
          <w:tcPr>
            <w:tcW w:w="3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March 31, 2018</w:t>
            </w:r>
          </w:p>
        </w:tc>
        <w:tc>
          <w:tcPr>
            <w:tcW w:w="320" w:type="dxa"/>
            <w:vAlign w:val="bottom"/>
          </w:tcPr>
          <w:p>
            <w:pPr>
              <w:spacing w:after="0"/>
              <w:rPr>
                <w:sz w:val="14"/>
                <w:szCs w:val="14"/>
                <w:color w:val="auto"/>
              </w:rPr>
            </w:pPr>
          </w:p>
        </w:tc>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March 31, 2017</w:t>
            </w:r>
          </w:p>
        </w:tc>
      </w:tr>
    </w:tbl>
    <w:p>
      <w:pPr>
        <w:sectPr>
          <w:pgSz w:w="11900" w:h="16838" w:orient="portrait"/>
          <w:cols w:equalWidth="0" w:num="1">
            <w:col w:w="11420"/>
          </w:cols>
          <w:pgMar w:left="240" w:top="162" w:right="239" w:bottom="0" w:gutter="0" w:footer="0" w:header="0"/>
          <w:type w:val="continuous"/>
        </w:sectPr>
      </w:pPr>
    </w:p>
    <w:bookmarkStart w:id="15" w:name="page16"/>
    <w:bookmarkEnd w:id="15"/>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PAA</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4"/>
              </w:rPr>
              <w:t>Consolidating</w:t>
            </w:r>
          </w:p>
        </w:tc>
        <w:tc>
          <w:tcPr>
            <w:tcW w:w="160" w:type="dxa"/>
            <w:vAlign w:val="bottom"/>
          </w:tcPr>
          <w:p>
            <w:pPr>
              <w:spacing w:after="0"/>
              <w:rPr>
                <w:sz w:val="14"/>
                <w:szCs w:val="14"/>
                <w:color w:val="auto"/>
              </w:rPr>
            </w:pPr>
          </w:p>
        </w:tc>
        <w:tc>
          <w:tcPr>
            <w:tcW w:w="106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PAGP</w:t>
            </w:r>
          </w:p>
        </w:tc>
        <w:tc>
          <w:tcPr>
            <w:tcW w:w="200" w:type="dxa"/>
            <w:vAlign w:val="bottom"/>
          </w:tcPr>
          <w:p>
            <w:pPr>
              <w:spacing w:after="0"/>
              <w:rPr>
                <w:sz w:val="14"/>
                <w:szCs w:val="14"/>
                <w:color w:val="auto"/>
              </w:rPr>
            </w:pPr>
          </w:p>
        </w:tc>
        <w:tc>
          <w:tcPr>
            <w:tcW w:w="88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PAA</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4"/>
              </w:rPr>
              <w:t>Consolidating</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PAGP</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right"/>
              <w:ind w:right="400"/>
              <w:spacing w:after="0" w:line="172" w:lineRule="exact"/>
              <w:rPr>
                <w:sz w:val="20"/>
                <w:szCs w:val="20"/>
                <w:color w:val="auto"/>
              </w:rPr>
            </w:pPr>
            <w:r>
              <w:rPr>
                <w:rFonts w:ascii="Arial" w:cs="Arial" w:eastAsia="Arial" w:hAnsi="Arial"/>
                <w:sz w:val="14"/>
                <w:szCs w:val="14"/>
                <w:b w:val="1"/>
                <w:bCs w:val="1"/>
                <w:color w:val="auto"/>
                <w:w w:val="89"/>
              </w:rPr>
              <w:t xml:space="preserve">Adjustments </w:t>
            </w:r>
            <w:r>
              <w:rPr>
                <w:rFonts w:ascii="Arial" w:cs="Arial" w:eastAsia="Arial" w:hAnsi="Arial"/>
                <w:sz w:val="17"/>
                <w:szCs w:val="17"/>
                <w:b w:val="1"/>
                <w:bCs w:val="1"/>
                <w:color w:val="auto"/>
                <w:w w:val="89"/>
                <w:vertAlign w:val="superscript"/>
              </w:rPr>
              <w:t>(1)</w:t>
            </w:r>
          </w:p>
        </w:tc>
        <w:tc>
          <w:tcPr>
            <w:tcW w:w="160" w:type="dxa"/>
            <w:vAlign w:val="bottom"/>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280"/>
              <w:spacing w:after="0" w:line="172" w:lineRule="exact"/>
              <w:rPr>
                <w:sz w:val="20"/>
                <w:szCs w:val="20"/>
                <w:color w:val="auto"/>
              </w:rPr>
            </w:pPr>
            <w:r>
              <w:rPr>
                <w:rFonts w:ascii="Arial" w:cs="Arial" w:eastAsia="Arial" w:hAnsi="Arial"/>
                <w:sz w:val="14"/>
                <w:szCs w:val="14"/>
                <w:b w:val="1"/>
                <w:bCs w:val="1"/>
                <w:color w:val="auto"/>
                <w:w w:val="89"/>
              </w:rPr>
              <w:t xml:space="preserve">Adjustments </w:t>
            </w:r>
            <w:r>
              <w:rPr>
                <w:rFonts w:ascii="Arial" w:cs="Arial" w:eastAsia="Arial" w:hAnsi="Arial"/>
                <w:sz w:val="17"/>
                <w:szCs w:val="17"/>
                <w:b w:val="1"/>
                <w:bCs w:val="1"/>
                <w:color w:val="auto"/>
                <w:w w:val="89"/>
                <w:vertAlign w:val="superscript"/>
              </w:rPr>
              <w:t>(1)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8,398</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8,398</w:t>
            </w:r>
          </w:p>
        </w:tc>
        <w:tc>
          <w:tcPr>
            <w:tcW w:w="180" w:type="dxa"/>
            <w:vAlign w:val="bottom"/>
            <w:tcBorders>
              <w:top w:val="single" w:sz="8" w:color="CCEEFF"/>
              <w:right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6,667</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Purchases and related costs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7,519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7,519</w:t>
            </w:r>
          </w:p>
        </w:tc>
        <w:tc>
          <w:tcPr>
            <w:tcW w:w="1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5,593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5,593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Field operating costs</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292</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80</w:t>
            </w:r>
          </w:p>
        </w:tc>
        <w:tc>
          <w:tcPr>
            <w:tcW w:w="1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127</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80" w:type="dxa"/>
            <w:vAlign w:val="bottom"/>
          </w:tcPr>
          <w:p>
            <w:pPr>
              <w:ind w:left="160"/>
              <w:spacing w:after="0"/>
              <w:rPr>
                <w:sz w:val="20"/>
                <w:szCs w:val="20"/>
                <w:color w:val="auto"/>
              </w:rPr>
            </w:pPr>
            <w:r>
              <w:rPr>
                <w:rFonts w:ascii="Arial" w:cs="Arial" w:eastAsia="Arial" w:hAnsi="Arial"/>
                <w:sz w:val="18"/>
                <w:szCs w:val="18"/>
                <w:color w:val="auto"/>
              </w:rPr>
              <w:t>Total costs and expenses</w:t>
            </w: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8,017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8,018</w:t>
            </w:r>
          </w:p>
        </w:tc>
        <w:tc>
          <w:tcPr>
            <w:tcW w:w="1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6,076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381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9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380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591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b w:val="1"/>
                <w:bCs w:val="1"/>
                <w:color w:val="auto"/>
              </w:rPr>
              <w:t>OTHER INCOME/(EXPENSE)</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Equity earnings in unconsolidated entities</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8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Interest expense, net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2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(106)</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TAX</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9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348</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Current income tax expense</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2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expense</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spacing w:after="0"/>
              <w:rPr>
                <w:sz w:val="18"/>
                <w:szCs w:val="18"/>
                <w:color w:val="auto"/>
              </w:rPr>
            </w:pPr>
          </w:p>
        </w:tc>
        <w:tc>
          <w:tcPr>
            <w:tcW w:w="92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8"/>
                <w:szCs w:val="18"/>
                <w:color w:val="auto"/>
              </w:rPr>
            </w:pPr>
          </w:p>
        </w:tc>
        <w:tc>
          <w:tcPr>
            <w:tcW w:w="9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273</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80" w:type="dxa"/>
            <w:vAlign w:val="bottom"/>
          </w:tcPr>
          <w:p>
            <w:pPr>
              <w:ind w:left="160"/>
              <w:spacing w:after="0" w:line="201" w:lineRule="exact"/>
              <w:rPr>
                <w:sz w:val="20"/>
                <w:szCs w:val="20"/>
                <w:color w:val="auto"/>
              </w:rPr>
            </w:pPr>
            <w:r>
              <w:rPr>
                <w:rFonts w:ascii="Arial" w:cs="Arial" w:eastAsia="Arial" w:hAnsi="Arial"/>
                <w:sz w:val="18"/>
                <w:szCs w:val="18"/>
                <w:color w:val="auto"/>
              </w:rPr>
              <w:t>Net income attributable to noncontrolling</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80" w:type="dxa"/>
            <w:vAlign w:val="bottom"/>
          </w:tcPr>
          <w:p>
            <w:pPr>
              <w:ind w:left="340"/>
              <w:spacing w:after="0"/>
              <w:rPr>
                <w:sz w:val="20"/>
                <w:szCs w:val="20"/>
                <w:color w:val="auto"/>
              </w:rPr>
            </w:pPr>
            <w:r>
              <w:rPr>
                <w:rFonts w:ascii="Arial" w:cs="Arial" w:eastAsia="Arial" w:hAnsi="Arial"/>
                <w:sz w:val="18"/>
                <w:szCs w:val="18"/>
                <w:color w:val="auto"/>
              </w:rPr>
              <w:t>interests</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(236)</w:t>
            </w:r>
          </w:p>
        </w:tc>
        <w:tc>
          <w:tcPr>
            <w:tcW w:w="160" w:type="dxa"/>
            <w:vAlign w:val="bottom"/>
          </w:tcPr>
          <w:p>
            <w:pPr>
              <w:spacing w:after="0"/>
              <w:rPr>
                <w:sz w:val="20"/>
                <w:szCs w:val="20"/>
                <w:color w:val="auto"/>
              </w:rPr>
            </w:pPr>
          </w:p>
        </w:tc>
        <w:tc>
          <w:tcPr>
            <w:tcW w:w="92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(236)</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PAGP</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80" w:type="dxa"/>
            <w:vAlign w:val="bottom"/>
            <w:tcBorders>
              <w:top w:val="single" w:sz="8" w:color="CCEEFF"/>
              <w:bottom w:val="single" w:sz="8" w:color="CCEEFF"/>
              <w:right w:val="single" w:sz="8" w:color="auto"/>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6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BASIC AND DILUTED NET INCOME PER</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2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0.23</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6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CLASS A SHARE</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920" w:type="dxa"/>
            <w:vAlign w:val="bottom"/>
            <w:tcBorders>
              <w:right w:val="single" w:sz="8" w:color="auto"/>
            </w:tcBorders>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gridSpan w:val="2"/>
            <w:vMerge w:val="continue"/>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right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6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BASIC AND DILUTED WEIGHTED</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tcBorders>
              <w:right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AVERAGE CLASS A SHARES</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157</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6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OUTSTANDING</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tcBorders>
              <w:right w:val="single" w:sz="8" w:color="auto"/>
            </w:tcBorders>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320" w:hanging="312"/>
        <w:spacing w:after="0"/>
        <w:tabs>
          <w:tab w:leader="none" w:pos="320" w:val="left"/>
        </w:tabs>
        <w:numPr>
          <w:ilvl w:val="0"/>
          <w:numId w:val="19"/>
        </w:numPr>
        <w:rPr>
          <w:rFonts w:ascii="Arial" w:cs="Arial" w:eastAsia="Arial" w:hAnsi="Arial"/>
          <w:sz w:val="23"/>
          <w:szCs w:val="23"/>
          <w:color w:val="auto"/>
          <w:vertAlign w:val="superscript"/>
        </w:rPr>
      </w:pPr>
      <w:r>
        <w:rPr>
          <w:rFonts w:ascii="Arial" w:cs="Arial" w:eastAsia="Arial" w:hAnsi="Arial"/>
          <w:sz w:val="18"/>
          <w:szCs w:val="18"/>
          <w:color w:val="auto"/>
        </w:rPr>
        <w:t>Represents the aggregate consolidating adjustments necessary to produce consolidated financial statements for PAGP.</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20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CONSOLIDATING BALANCE SHEET DATA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6"/>
              </w:rPr>
              <w:t>March 31, 2018</w:t>
            </w: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December 31, 2017</w:t>
            </w: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PAA</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w w:val="99"/>
              </w:rPr>
              <w:t>Consolidating</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PAGP</w:t>
            </w:r>
          </w:p>
        </w:tc>
        <w:tc>
          <w:tcPr>
            <w:tcW w:w="200" w:type="dxa"/>
            <w:vAlign w:val="bottom"/>
          </w:tcPr>
          <w:p>
            <w:pPr>
              <w:spacing w:after="0"/>
              <w:rPr>
                <w:sz w:val="10"/>
                <w:szCs w:val="10"/>
                <w:color w:val="auto"/>
              </w:rPr>
            </w:pPr>
          </w:p>
        </w:tc>
        <w:tc>
          <w:tcPr>
            <w:tcW w:w="84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PAA</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2"/>
          </w:tcPr>
          <w:p>
            <w:pPr>
              <w:jc w:val="right"/>
              <w:ind w:right="320"/>
              <w:spacing w:after="0" w:line="119" w:lineRule="exact"/>
              <w:rPr>
                <w:sz w:val="20"/>
                <w:szCs w:val="20"/>
                <w:color w:val="auto"/>
              </w:rPr>
            </w:pPr>
            <w:r>
              <w:rPr>
                <w:rFonts w:ascii="Arial" w:cs="Arial" w:eastAsia="Arial" w:hAnsi="Arial"/>
                <w:sz w:val="13"/>
                <w:szCs w:val="13"/>
                <w:b w:val="1"/>
                <w:bCs w:val="1"/>
                <w:color w:val="auto"/>
              </w:rPr>
              <w:t>Consolidating</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PAGP</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280"/>
              <w:spacing w:after="0" w:line="172" w:lineRule="exact"/>
              <w:rPr>
                <w:sz w:val="20"/>
                <w:szCs w:val="20"/>
                <w:color w:val="auto"/>
              </w:rPr>
            </w:pPr>
            <w:r>
              <w:rPr>
                <w:rFonts w:ascii="Arial" w:cs="Arial" w:eastAsia="Arial" w:hAnsi="Arial"/>
                <w:sz w:val="14"/>
                <w:szCs w:val="14"/>
                <w:b w:val="1"/>
                <w:bCs w:val="1"/>
                <w:color w:val="auto"/>
                <w:w w:val="89"/>
              </w:rPr>
              <w:t xml:space="preserve">Adjustments </w:t>
            </w:r>
            <w:r>
              <w:rPr>
                <w:rFonts w:ascii="Arial" w:cs="Arial" w:eastAsia="Arial" w:hAnsi="Arial"/>
                <w:sz w:val="17"/>
                <w:szCs w:val="17"/>
                <w:b w:val="1"/>
                <w:bCs w:val="1"/>
                <w:color w:val="auto"/>
                <w:w w:val="89"/>
                <w:vertAlign w:val="superscript"/>
              </w:rPr>
              <w:t>(1)</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280"/>
              <w:spacing w:after="0" w:line="172" w:lineRule="exact"/>
              <w:rPr>
                <w:sz w:val="20"/>
                <w:szCs w:val="20"/>
                <w:color w:val="auto"/>
              </w:rPr>
            </w:pPr>
            <w:r>
              <w:rPr>
                <w:rFonts w:ascii="Arial" w:cs="Arial" w:eastAsia="Arial" w:hAnsi="Arial"/>
                <w:sz w:val="14"/>
                <w:szCs w:val="14"/>
                <w:b w:val="1"/>
                <w:bCs w:val="1"/>
                <w:color w:val="auto"/>
                <w:w w:val="89"/>
              </w:rPr>
              <w:t xml:space="preserve">Adjustments </w:t>
            </w:r>
            <w:r>
              <w:rPr>
                <w:rFonts w:ascii="Arial" w:cs="Arial" w:eastAsia="Arial" w:hAnsi="Arial"/>
                <w:sz w:val="17"/>
                <w:szCs w:val="17"/>
                <w:b w:val="1"/>
                <w:bCs w:val="1"/>
                <w:color w:val="auto"/>
                <w:w w:val="89"/>
                <w:vertAlign w:val="superscript"/>
              </w:rPr>
              <w:t>(1)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right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Current assets</w:t>
            </w:r>
          </w:p>
        </w:tc>
        <w:tc>
          <w:tcPr>
            <w:tcW w:w="44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3,962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3,965</w:t>
            </w:r>
          </w:p>
        </w:tc>
        <w:tc>
          <w:tcPr>
            <w:tcW w:w="1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4,000</w:t>
            </w:r>
          </w:p>
        </w:tc>
        <w:tc>
          <w:tcPr>
            <w:tcW w:w="140" w:type="dxa"/>
            <w:vAlign w:val="bottom"/>
          </w:tcPr>
          <w:p>
            <w:pPr>
              <w:spacing w:after="0"/>
              <w:rPr>
                <w:sz w:val="18"/>
                <w:szCs w:val="18"/>
                <w:color w:val="auto"/>
              </w:rPr>
            </w:pP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14,114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14,129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14,089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2,543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2,543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2,566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unconsolidated entities</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2,882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2,882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Deferred tax asset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1,373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1,373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1,386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Linefill and base gas</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Long-term inventory</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159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164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assets, net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6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25,423</w:t>
            </w:r>
          </w:p>
        </w:tc>
        <w:tc>
          <w:tcPr>
            <w:tcW w:w="16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1,389</w:t>
            </w:r>
          </w:p>
        </w:tc>
        <w:tc>
          <w:tcPr>
            <w:tcW w:w="2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26,812</w:t>
            </w:r>
          </w:p>
        </w:tc>
        <w:tc>
          <w:tcPr>
            <w:tcW w:w="140" w:type="dxa"/>
            <w:vAlign w:val="bottom"/>
            <w:tcBorders>
              <w:bottom w:val="single" w:sz="8" w:color="CCEEFF"/>
              <w:right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25,351</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1,402</w:t>
            </w: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26,753</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b w:val="1"/>
                <w:bCs w:val="1"/>
                <w:color w:val="auto"/>
              </w:rPr>
              <w:t>LIABILITIES AND PARTNERS’ CAPITAL</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44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4,601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4,602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4,531</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4,533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60" w:type="dxa"/>
            <w:vAlign w:val="bottom"/>
          </w:tcPr>
          <w:p>
            <w:pPr>
              <w:spacing w:after="0" w:line="201" w:lineRule="exact"/>
              <w:rPr>
                <w:sz w:val="20"/>
                <w:szCs w:val="20"/>
                <w:color w:val="auto"/>
              </w:rPr>
            </w:pPr>
            <w:r>
              <w:rPr>
                <w:rFonts w:ascii="Arial" w:cs="Arial" w:eastAsia="Arial" w:hAnsi="Arial"/>
                <w:sz w:val="18"/>
                <w:szCs w:val="18"/>
                <w:color w:val="auto"/>
                <w:w w:val="96"/>
              </w:rPr>
              <w:t>Senior notes, net of unamortized discounts and</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60" w:type="dxa"/>
            <w:vAlign w:val="bottom"/>
          </w:tcPr>
          <w:p>
            <w:pPr>
              <w:ind w:left="160"/>
              <w:spacing w:after="0"/>
              <w:rPr>
                <w:sz w:val="20"/>
                <w:szCs w:val="20"/>
                <w:color w:val="auto"/>
              </w:rPr>
            </w:pPr>
            <w:r>
              <w:rPr>
                <w:rFonts w:ascii="Arial" w:cs="Arial" w:eastAsia="Arial" w:hAnsi="Arial"/>
                <w:sz w:val="18"/>
                <w:szCs w:val="18"/>
                <w:color w:val="auto"/>
              </w:rPr>
              <w:t>debt issuance costs</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8,935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8,935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8,933</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8,933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debt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w w:val="99"/>
              </w:rPr>
              <w:t>Other long-term liabilities and deferred credits</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736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736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679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679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6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liabilities</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14,387</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14,388</w:t>
            </w:r>
          </w:p>
        </w:tc>
        <w:tc>
          <w:tcPr>
            <w:tcW w:w="140" w:type="dxa"/>
            <w:vAlign w:val="bottom"/>
            <w:tcBorders>
              <w:top w:val="single" w:sz="8" w:color="CCEEFF"/>
              <w:right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14,393</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14,395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Partners’ capital excluding noncontrolling</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interests</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11,036</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(9,335)</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1,701</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10,958</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(9,263)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10,723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10,723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10,663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10,663</w:t>
            </w:r>
          </w:p>
        </w:tc>
        <w:tc>
          <w:tcPr>
            <w:tcW w:w="0" w:type="dxa"/>
            <w:vAlign w:val="bottom"/>
          </w:tcPr>
          <w:p>
            <w:pPr>
              <w:spacing w:after="0"/>
              <w:rPr>
                <w:sz w:val="1"/>
                <w:szCs w:val="1"/>
                <w:color w:val="auto"/>
              </w:rPr>
            </w:pPr>
          </w:p>
        </w:tc>
      </w:tr>
      <w:tr>
        <w:trPr>
          <w:trHeight w:val="64"/>
        </w:trPr>
        <w:tc>
          <w:tcPr>
            <w:tcW w:w="20" w:type="dxa"/>
            <w:vAlign w:val="bottom"/>
            <w:tcBorders>
              <w:top w:val="single" w:sz="8" w:color="CCEEFF"/>
            </w:tcBorders>
            <w:shd w:val="clear" w:color="auto" w:fill="CCEEFF"/>
          </w:tcPr>
          <w:p>
            <w:pPr>
              <w:spacing w:after="0"/>
              <w:rPr>
                <w:sz w:val="5"/>
                <w:szCs w:val="5"/>
                <w:color w:val="auto"/>
              </w:rPr>
            </w:pPr>
          </w:p>
        </w:tc>
        <w:tc>
          <w:tcPr>
            <w:tcW w:w="366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auto"/>
            </w:tcBorders>
            <w:shd w:val="clear" w:color="auto" w:fill="CCEEFF"/>
          </w:tcPr>
          <w:p>
            <w:pPr>
              <w:spacing w:after="0"/>
              <w:rPr>
                <w:sz w:val="5"/>
                <w:szCs w:val="5"/>
                <w:color w:val="auto"/>
              </w:rPr>
            </w:pPr>
          </w:p>
        </w:tc>
        <w:tc>
          <w:tcPr>
            <w:tcW w:w="72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1040" w:type="dxa"/>
            <w:vAlign w:val="bottom"/>
            <w:tcBorders>
              <w:top w:val="single" w:sz="8" w:color="auto"/>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auto"/>
            </w:tcBorders>
            <w:shd w:val="clear" w:color="auto" w:fill="CCEEFF"/>
          </w:tcPr>
          <w:p>
            <w:pPr>
              <w:spacing w:after="0"/>
              <w:rPr>
                <w:sz w:val="5"/>
                <w:szCs w:val="5"/>
                <w:color w:val="auto"/>
              </w:rPr>
            </w:pPr>
          </w:p>
        </w:tc>
        <w:tc>
          <w:tcPr>
            <w:tcW w:w="740" w:type="dxa"/>
            <w:vAlign w:val="bottom"/>
            <w:tcBorders>
              <w:top w:val="single" w:sz="8" w:color="auto"/>
            </w:tcBorders>
            <w:shd w:val="clear" w:color="auto" w:fill="CCEEFF"/>
          </w:tcPr>
          <w:p>
            <w:pPr>
              <w:spacing w:after="0"/>
              <w:rPr>
                <w:sz w:val="5"/>
                <w:szCs w:val="5"/>
                <w:color w:val="auto"/>
              </w:rPr>
            </w:pPr>
          </w:p>
        </w:tc>
        <w:tc>
          <w:tcPr>
            <w:tcW w:w="140" w:type="dxa"/>
            <w:vAlign w:val="bottom"/>
            <w:tcBorders>
              <w:top w:val="single" w:sz="8" w:color="CCEEFF"/>
              <w:right w:val="single" w:sz="8" w:color="auto"/>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auto"/>
            </w:tcBorders>
            <w:shd w:val="clear" w:color="auto" w:fill="CCEEFF"/>
          </w:tcPr>
          <w:p>
            <w:pPr>
              <w:spacing w:after="0"/>
              <w:rPr>
                <w:sz w:val="5"/>
                <w:szCs w:val="5"/>
                <w:color w:val="auto"/>
              </w:rPr>
            </w:pPr>
          </w:p>
        </w:tc>
        <w:tc>
          <w:tcPr>
            <w:tcW w:w="700" w:type="dxa"/>
            <w:vAlign w:val="bottom"/>
            <w:tcBorders>
              <w:top w:val="single" w:sz="8" w:color="auto"/>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1040" w:type="dxa"/>
            <w:vAlign w:val="bottom"/>
            <w:tcBorders>
              <w:top w:val="single" w:sz="8" w:color="auto"/>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auto"/>
            </w:tcBorders>
            <w:shd w:val="clear" w:color="auto" w:fill="CCEEFF"/>
          </w:tcPr>
          <w:p>
            <w:pPr>
              <w:spacing w:after="0"/>
              <w:rPr>
                <w:sz w:val="5"/>
                <w:szCs w:val="5"/>
                <w:color w:val="auto"/>
              </w:rPr>
            </w:pPr>
          </w:p>
        </w:tc>
        <w:tc>
          <w:tcPr>
            <w:tcW w:w="74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04" w:right="239" w:bottom="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partners’ capital</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11,036</w:t>
            </w:r>
          </w:p>
        </w:tc>
        <w:tc>
          <w:tcPr>
            <w:tcW w:w="4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1,388</w:t>
            </w:r>
          </w:p>
        </w:tc>
        <w:tc>
          <w:tcPr>
            <w:tcW w:w="260" w:type="dxa"/>
            <w:vAlign w:val="bottom"/>
            <w:shd w:val="clear" w:color="auto" w:fill="CCEEFF"/>
          </w:tcPr>
          <w:p>
            <w:pPr>
              <w:spacing w:after="0"/>
              <w:rPr>
                <w:sz w:val="18"/>
                <w:szCs w:val="18"/>
                <w:color w:val="auto"/>
              </w:rPr>
            </w:pPr>
          </w:p>
        </w:tc>
        <w:tc>
          <w:tcPr>
            <w:tcW w:w="80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12,424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10,958</w:t>
            </w:r>
          </w:p>
        </w:tc>
        <w:tc>
          <w:tcPr>
            <w:tcW w:w="4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1,400</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12,358</w:t>
            </w:r>
          </w:p>
        </w:tc>
        <w:tc>
          <w:tcPr>
            <w:tcW w:w="80" w:type="dxa"/>
            <w:vAlign w:val="bottom"/>
            <w:shd w:val="clear" w:color="auto" w:fill="CCEEFF"/>
          </w:tcPr>
          <w:p>
            <w:pPr>
              <w:spacing w:after="0"/>
              <w:rPr>
                <w:sz w:val="18"/>
                <w:szCs w:val="18"/>
                <w:color w:val="auto"/>
              </w:rPr>
            </w:pPr>
          </w:p>
        </w:tc>
      </w:tr>
      <w:tr>
        <w:trPr>
          <w:trHeight w:val="210"/>
        </w:trPr>
        <w:tc>
          <w:tcPr>
            <w:tcW w:w="3920" w:type="dxa"/>
            <w:vAlign w:val="bottom"/>
          </w:tcPr>
          <w:p>
            <w:pPr>
              <w:ind w:left="360"/>
              <w:spacing w:after="0"/>
              <w:rPr>
                <w:sz w:val="20"/>
                <w:szCs w:val="20"/>
                <w:color w:val="auto"/>
              </w:rPr>
            </w:pPr>
            <w:r>
              <w:rPr>
                <w:rFonts w:ascii="Arial" w:cs="Arial" w:eastAsia="Arial" w:hAnsi="Arial"/>
                <w:sz w:val="18"/>
                <w:szCs w:val="18"/>
                <w:color w:val="auto"/>
              </w:rPr>
              <w:t>Total liabilities and partners’ capital</w:t>
            </w: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25,423</w:t>
            </w:r>
          </w:p>
        </w:tc>
        <w:tc>
          <w:tcPr>
            <w:tcW w:w="30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8"/>
                <w:szCs w:val="18"/>
                <w:color w:val="auto"/>
                <w:w w:val="84"/>
              </w:rPr>
              <w:t>1,389</w:t>
            </w:r>
          </w:p>
        </w:tc>
        <w:tc>
          <w:tcPr>
            <w:tcW w:w="34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26,812</w:t>
            </w: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25,351</w:t>
            </w:r>
          </w:p>
        </w:tc>
        <w:tc>
          <w:tcPr>
            <w:tcW w:w="28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1,402</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26,753</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39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205740</wp:posOffset>
            </wp:positionV>
            <wp:extent cx="177546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775460" cy="8890"/>
                    </a:xfrm>
                    <a:prstGeom prst="rect">
                      <a:avLst/>
                    </a:prstGeom>
                    <a:noFill/>
                  </pic:spPr>
                </pic:pic>
              </a:graphicData>
            </a:graphic>
          </wp:anchor>
        </w:drawing>
      </w:r>
    </w:p>
    <w:p>
      <w:pPr>
        <w:spacing w:after="0" w:line="377" w:lineRule="exact"/>
        <w:rPr>
          <w:sz w:val="20"/>
          <w:szCs w:val="20"/>
          <w:color w:val="auto"/>
        </w:rPr>
      </w:pPr>
    </w:p>
    <w:p>
      <w:pPr>
        <w:ind w:left="320" w:hanging="312"/>
        <w:spacing w:after="0"/>
        <w:tabs>
          <w:tab w:leader="none" w:pos="320" w:val="left"/>
        </w:tabs>
        <w:numPr>
          <w:ilvl w:val="0"/>
          <w:numId w:val="20"/>
        </w:numPr>
        <w:rPr>
          <w:rFonts w:ascii="Arial" w:cs="Arial" w:eastAsia="Arial" w:hAnsi="Arial"/>
          <w:sz w:val="23"/>
          <w:szCs w:val="23"/>
          <w:color w:val="auto"/>
          <w:vertAlign w:val="superscript"/>
        </w:rPr>
      </w:pPr>
      <w:r>
        <w:rPr>
          <w:rFonts w:ascii="Arial" w:cs="Arial" w:eastAsia="Arial" w:hAnsi="Arial"/>
          <w:sz w:val="18"/>
          <w:szCs w:val="18"/>
          <w:color w:val="auto"/>
        </w:rPr>
        <w:t>Represents the aggregate consolidating adjustments necessary to produce consolidated financial statements for PAGP.</w:t>
      </w:r>
    </w:p>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21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0"/>
          <w:szCs w:val="20"/>
          <w:color w:val="auto"/>
        </w:rPr>
      </w:pPr>
    </w:p>
    <w:p>
      <w:pPr>
        <w:ind w:right="4820"/>
        <w:spacing w:after="0" w:line="282" w:lineRule="auto"/>
        <w:rPr>
          <w:sz w:val="20"/>
          <w:szCs w:val="20"/>
          <w:color w:val="auto"/>
        </w:rPr>
      </w:pPr>
      <w:r>
        <w:rPr>
          <w:rFonts w:ascii="Arial" w:cs="Arial" w:eastAsia="Arial" w:hAnsi="Arial"/>
          <w:sz w:val="18"/>
          <w:szCs w:val="18"/>
          <w:b w:val="1"/>
          <w:bCs w:val="1"/>
          <w:u w:val="single" w:color="auto"/>
          <w:color w:val="auto"/>
        </w:rPr>
        <w:t xml:space="preserve">COMPUTATION OF BASIC AND DILUTED NET INCOME PER CLASS A SHARE </w:t>
      </w:r>
      <w:r>
        <w:rPr>
          <w:rFonts w:ascii="Arial" w:cs="Arial" w:eastAsia="Arial" w:hAnsi="Arial"/>
          <w:sz w:val="18"/>
          <w:szCs w:val="18"/>
          <w:color w:val="auto"/>
        </w:rPr>
        <w:t>(in millions, except per share data)</w:t>
      </w:r>
    </w:p>
    <w:p>
      <w:pPr>
        <w:spacing w:after="0" w:line="157" w:lineRule="exact"/>
        <w:rPr>
          <w:sz w:val="20"/>
          <w:szCs w:val="20"/>
          <w:color w:val="auto"/>
        </w:rPr>
      </w:pPr>
    </w:p>
    <w:p>
      <w:pPr>
        <w:jc w:val="center"/>
        <w:ind w:left="8660"/>
        <w:spacing w:after="0"/>
        <w:rPr>
          <w:sz w:val="20"/>
          <w:szCs w:val="20"/>
          <w:color w:val="auto"/>
        </w:rPr>
      </w:pPr>
      <w:r>
        <w:rPr>
          <w:rFonts w:ascii="Arial" w:cs="Arial" w:eastAsia="Arial" w:hAnsi="Arial"/>
          <w:sz w:val="14"/>
          <w:szCs w:val="14"/>
          <w:b w:val="1"/>
          <w:bCs w:val="1"/>
          <w:color w:val="auto"/>
        </w:rPr>
        <w:t>Three Months Ended</w:t>
      </w:r>
    </w:p>
    <w:p>
      <w:pPr>
        <w:jc w:val="center"/>
        <w:ind w:left="866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740" w:type="dxa"/>
            <w:vAlign w:val="bottom"/>
            <w:tcBorders>
              <w:bottom w:val="single" w:sz="8" w:color="CCEEFF"/>
            </w:tcBorders>
          </w:tcPr>
          <w:p>
            <w:pPr>
              <w:spacing w:after="0"/>
              <w:rPr>
                <w:sz w:val="12"/>
                <w:szCs w:val="12"/>
                <w:color w:val="auto"/>
              </w:rPr>
            </w:pPr>
          </w:p>
        </w:tc>
        <w:tc>
          <w:tcPr>
            <w:tcW w:w="202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3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54"/>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2"/>
                <w:szCs w:val="12"/>
                <w:color w:val="auto"/>
              </w:rPr>
            </w:pPr>
          </w:p>
        </w:tc>
      </w:tr>
      <w:tr>
        <w:trPr>
          <w:trHeight w:val="196"/>
        </w:trPr>
        <w:tc>
          <w:tcPr>
            <w:tcW w:w="6740" w:type="dxa"/>
            <w:vAlign w:val="bottom"/>
            <w:shd w:val="clear" w:color="auto" w:fill="CCEEFF"/>
          </w:tcPr>
          <w:p>
            <w:pPr>
              <w:spacing w:after="0" w:line="197" w:lineRule="exact"/>
              <w:rPr>
                <w:sz w:val="20"/>
                <w:szCs w:val="20"/>
                <w:color w:val="auto"/>
              </w:rPr>
            </w:pPr>
            <w:r>
              <w:rPr>
                <w:rFonts w:ascii="Arial" w:cs="Arial" w:eastAsia="Arial" w:hAnsi="Arial"/>
                <w:sz w:val="17"/>
                <w:szCs w:val="17"/>
                <w:b w:val="1"/>
                <w:bCs w:val="1"/>
                <w:color w:val="auto"/>
              </w:rPr>
              <w:t xml:space="preserve">Basic and Diluted Net Income per Class A Share </w:t>
            </w:r>
            <w:r>
              <w:rPr>
                <w:rFonts w:ascii="Arial" w:cs="Arial" w:eastAsia="Arial" w:hAnsi="Arial"/>
                <w:sz w:val="22"/>
                <w:szCs w:val="22"/>
                <w:b w:val="1"/>
                <w:bCs w:val="1"/>
                <w:color w:val="auto"/>
                <w:vertAlign w:val="superscript"/>
              </w:rPr>
              <w:t>(1)</w:t>
            </w:r>
          </w:p>
        </w:tc>
        <w:tc>
          <w:tcPr>
            <w:tcW w:w="20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740" w:type="dxa"/>
            <w:vAlign w:val="bottom"/>
          </w:tcPr>
          <w:p>
            <w:pPr>
              <w:ind w:left="180"/>
              <w:spacing w:after="0"/>
              <w:rPr>
                <w:sz w:val="20"/>
                <w:szCs w:val="20"/>
                <w:color w:val="auto"/>
              </w:rPr>
            </w:pPr>
            <w:r>
              <w:rPr>
                <w:rFonts w:ascii="Arial" w:cs="Arial" w:eastAsia="Arial" w:hAnsi="Arial"/>
                <w:sz w:val="18"/>
                <w:szCs w:val="18"/>
                <w:color w:val="auto"/>
              </w:rPr>
              <w:t>Net income attributable to PAGP</w:t>
            </w:r>
          </w:p>
        </w:tc>
        <w:tc>
          <w:tcPr>
            <w:tcW w:w="2780" w:type="dxa"/>
            <w:vAlign w:val="bottom"/>
            <w:gridSpan w:val="2"/>
          </w:tcPr>
          <w:p>
            <w:pPr>
              <w:jc w:val="right"/>
              <w:ind w:right="608"/>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37</w:t>
            </w:r>
          </w:p>
        </w:tc>
        <w:tc>
          <w:tcPr>
            <w:tcW w:w="140" w:type="dxa"/>
            <w:vAlign w:val="bottom"/>
          </w:tcPr>
          <w:p>
            <w:pPr>
              <w:spacing w:after="0"/>
              <w:rPr>
                <w:sz w:val="18"/>
                <w:szCs w:val="18"/>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r>
      <w:tr>
        <w:trPr>
          <w:trHeight w:val="216"/>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and diluted weighted average Class A shares outstanding</w:t>
            </w:r>
          </w:p>
        </w:tc>
        <w:tc>
          <w:tcPr>
            <w:tcW w:w="20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157</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w:t>
            </w:r>
          </w:p>
        </w:tc>
      </w:tr>
      <w:tr>
        <w:trPr>
          <w:trHeight w:val="216"/>
        </w:trPr>
        <w:tc>
          <w:tcPr>
            <w:tcW w:w="67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and diluted net income per Class A share</w:t>
            </w:r>
          </w:p>
        </w:tc>
        <w:tc>
          <w:tcPr>
            <w:tcW w:w="278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0.23</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0.34</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60" w:hanging="332"/>
        <w:spacing w:after="0" w:line="227" w:lineRule="auto"/>
        <w:tabs>
          <w:tab w:leader="none" w:pos="328" w:val="left"/>
        </w:tabs>
        <w:numPr>
          <w:ilvl w:val="0"/>
          <w:numId w:val="21"/>
        </w:numPr>
        <w:rPr>
          <w:rFonts w:ascii="Arial" w:cs="Arial" w:eastAsia="Arial" w:hAnsi="Arial"/>
          <w:sz w:val="23"/>
          <w:szCs w:val="23"/>
          <w:color w:val="auto"/>
          <w:vertAlign w:val="superscript"/>
        </w:rPr>
      </w:pPr>
      <w:r>
        <w:rPr>
          <w:rFonts w:ascii="Arial" w:cs="Arial" w:eastAsia="Arial" w:hAnsi="Arial"/>
          <w:sz w:val="18"/>
          <w:szCs w:val="18"/>
          <w:color w:val="auto"/>
        </w:rPr>
        <w:t>For the three months ended March 31, 2018 and 2017, the possible exchange of any AAP units and certain AAP Management Units would not have had a dilutive effect on basic net income per Class A share.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00" w:type="dxa"/>
            <w:vAlign w:val="bottom"/>
            <w:gridSpan w:val="2"/>
          </w:tcPr>
          <w:p>
            <w:pPr>
              <w:spacing w:after="0"/>
              <w:rPr>
                <w:sz w:val="20"/>
                <w:szCs w:val="20"/>
                <w:color w:val="auto"/>
              </w:rPr>
            </w:pPr>
            <w:r>
              <w:rPr>
                <w:rFonts w:ascii="Arial" w:cs="Arial" w:eastAsia="Arial" w:hAnsi="Arial"/>
                <w:sz w:val="18"/>
                <w:szCs w:val="18"/>
                <w:color w:val="auto"/>
              </w:rPr>
              <w:t>Contacts:</w:t>
            </w:r>
          </w:p>
        </w:tc>
        <w:tc>
          <w:tcPr>
            <w:tcW w:w="212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640" w:type="dxa"/>
            <w:vAlign w:val="bottom"/>
            <w:shd w:val="clear" w:color="auto" w:fill="000000"/>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8"/>
        </w:trPr>
        <w:tc>
          <w:tcPr>
            <w:tcW w:w="4600" w:type="dxa"/>
            <w:vAlign w:val="bottom"/>
            <w:gridSpan w:val="2"/>
          </w:tcPr>
          <w:p>
            <w:pPr>
              <w:spacing w:after="0"/>
              <w:rPr>
                <w:sz w:val="20"/>
                <w:szCs w:val="20"/>
                <w:color w:val="auto"/>
              </w:rPr>
            </w:pPr>
            <w:r>
              <w:rPr>
                <w:rFonts w:ascii="Arial" w:cs="Arial" w:eastAsia="Arial" w:hAnsi="Arial"/>
                <w:sz w:val="18"/>
                <w:szCs w:val="18"/>
                <w:color w:val="auto"/>
              </w:rPr>
              <w:t>Roy Lamoreaux</w:t>
            </w:r>
          </w:p>
        </w:tc>
        <w:tc>
          <w:tcPr>
            <w:tcW w:w="2120" w:type="dxa"/>
            <w:vAlign w:val="bottom"/>
          </w:tcPr>
          <w:p>
            <w:pPr>
              <w:ind w:left="740"/>
              <w:spacing w:after="0"/>
              <w:rPr>
                <w:sz w:val="20"/>
                <w:szCs w:val="20"/>
                <w:color w:val="auto"/>
              </w:rPr>
            </w:pPr>
            <w:r>
              <w:rPr>
                <w:rFonts w:ascii="Arial" w:cs="Arial" w:eastAsia="Arial" w:hAnsi="Arial"/>
                <w:sz w:val="18"/>
                <w:szCs w:val="18"/>
                <w:color w:val="auto"/>
              </w:rPr>
              <w:t>Brett Magill</w:t>
            </w:r>
          </w:p>
        </w:tc>
        <w:tc>
          <w:tcPr>
            <w:tcW w:w="47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Vice President, Investor Relations &amp; Communications</w:t>
            </w:r>
          </w:p>
        </w:tc>
        <w:tc>
          <w:tcPr>
            <w:tcW w:w="6820" w:type="dxa"/>
            <w:vAlign w:val="bottom"/>
            <w:gridSpan w:val="2"/>
          </w:tcPr>
          <w:p>
            <w:pPr>
              <w:ind w:left="740"/>
              <w:spacing w:after="0"/>
              <w:rPr>
                <w:sz w:val="20"/>
                <w:szCs w:val="20"/>
                <w:color w:val="auto"/>
              </w:rPr>
            </w:pPr>
            <w:r>
              <w:rPr>
                <w:rFonts w:ascii="Arial" w:cs="Arial" w:eastAsia="Arial" w:hAnsi="Arial"/>
                <w:sz w:val="18"/>
                <w:szCs w:val="18"/>
                <w:color w:val="auto"/>
              </w:rPr>
              <w:t>Director, Investor Relations</w:t>
            </w:r>
          </w:p>
        </w:tc>
        <w:tc>
          <w:tcPr>
            <w:tcW w:w="40" w:type="dxa"/>
            <w:vAlign w:val="bottom"/>
          </w:tcPr>
          <w:p>
            <w:pPr>
              <w:spacing w:after="0"/>
              <w:rPr>
                <w:sz w:val="18"/>
                <w:szCs w:val="18"/>
                <w:color w:val="auto"/>
              </w:rPr>
            </w:pPr>
          </w:p>
        </w:tc>
      </w:tr>
      <w:tr>
        <w:trPr>
          <w:trHeight w:val="230"/>
        </w:trPr>
        <w:tc>
          <w:tcPr>
            <w:tcW w:w="4600" w:type="dxa"/>
            <w:vAlign w:val="bottom"/>
            <w:gridSpan w:val="2"/>
          </w:tcPr>
          <w:p>
            <w:pPr>
              <w:spacing w:after="0"/>
              <w:rPr>
                <w:sz w:val="20"/>
                <w:szCs w:val="20"/>
                <w:color w:val="auto"/>
              </w:rPr>
            </w:pPr>
            <w:r>
              <w:rPr>
                <w:rFonts w:ascii="Arial" w:cs="Arial" w:eastAsia="Arial" w:hAnsi="Arial"/>
                <w:sz w:val="18"/>
                <w:szCs w:val="18"/>
                <w:color w:val="auto"/>
              </w:rPr>
              <w:t>(866) 809-1291</w:t>
            </w:r>
          </w:p>
        </w:tc>
        <w:tc>
          <w:tcPr>
            <w:tcW w:w="2120" w:type="dxa"/>
            <w:vAlign w:val="bottom"/>
          </w:tcPr>
          <w:p>
            <w:pPr>
              <w:ind w:left="740"/>
              <w:spacing w:after="0"/>
              <w:rPr>
                <w:sz w:val="20"/>
                <w:szCs w:val="20"/>
                <w:color w:val="auto"/>
              </w:rPr>
            </w:pPr>
            <w:r>
              <w:rPr>
                <w:rFonts w:ascii="Arial" w:cs="Arial" w:eastAsia="Arial" w:hAnsi="Arial"/>
                <w:sz w:val="18"/>
                <w:szCs w:val="18"/>
                <w:color w:val="auto"/>
              </w:rPr>
              <w:t>(866) 809-1291</w:t>
            </w:r>
          </w:p>
        </w:tc>
        <w:tc>
          <w:tcPr>
            <w:tcW w:w="47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64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rPr>
              <w:t>###</w:t>
            </w:r>
          </w:p>
        </w:tc>
        <w:tc>
          <w:tcPr>
            <w:tcW w:w="47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37"/>
        </w:trPr>
        <w:tc>
          <w:tcPr>
            <w:tcW w:w="640" w:type="dxa"/>
            <w:vAlign w:val="bottom"/>
          </w:tcPr>
          <w:p>
            <w:pPr>
              <w:spacing w:after="0"/>
              <w:rPr>
                <w:sz w:val="20"/>
                <w:szCs w:val="20"/>
                <w:color w:val="auto"/>
              </w:rPr>
            </w:pPr>
          </w:p>
        </w:tc>
        <w:tc>
          <w:tcPr>
            <w:tcW w:w="3960" w:type="dxa"/>
            <w:vAlign w:val="bottom"/>
          </w:tcPr>
          <w:p>
            <w:pPr>
              <w:ind w:left="1660"/>
              <w:spacing w:after="0"/>
              <w:rPr>
                <w:sz w:val="20"/>
                <w:szCs w:val="20"/>
                <w:color w:val="auto"/>
              </w:rPr>
            </w:pPr>
            <w:r>
              <w:rPr>
                <w:rFonts w:ascii="Arial" w:cs="Arial" w:eastAsia="Arial" w:hAnsi="Arial"/>
                <w:sz w:val="18"/>
                <w:szCs w:val="18"/>
                <w:b w:val="1"/>
                <w:bCs w:val="1"/>
                <w:color w:val="auto"/>
                <w:w w:val="99"/>
              </w:rPr>
              <w:t>333 Clay Street, Suite 1600</w:t>
            </w:r>
          </w:p>
        </w:tc>
        <w:tc>
          <w:tcPr>
            <w:tcW w:w="2120" w:type="dxa"/>
            <w:vAlign w:val="bottom"/>
          </w:tcPr>
          <w:p>
            <w:pPr>
              <w:ind w:left="220"/>
              <w:spacing w:after="0"/>
              <w:rPr>
                <w:sz w:val="20"/>
                <w:szCs w:val="20"/>
                <w:color w:val="auto"/>
              </w:rPr>
            </w:pPr>
            <w:r>
              <w:rPr>
                <w:rFonts w:ascii="Arial" w:cs="Arial" w:eastAsia="Arial" w:hAnsi="Arial"/>
                <w:sz w:val="18"/>
                <w:szCs w:val="18"/>
                <w:b w:val="1"/>
                <w:bCs w:val="1"/>
                <w:color w:val="auto"/>
                <w:w w:val="99"/>
              </w:rPr>
              <w:t>Houston, Texas 77002</w:t>
            </w:r>
          </w:p>
        </w:tc>
        <w:tc>
          <w:tcPr>
            <w:tcW w:w="4700" w:type="dxa"/>
            <w:vAlign w:val="bottom"/>
          </w:tcPr>
          <w:p>
            <w:pPr>
              <w:jc w:val="right"/>
              <w:ind w:right="2210"/>
              <w:spacing w:after="0"/>
              <w:rPr>
                <w:sz w:val="20"/>
                <w:szCs w:val="20"/>
                <w:color w:val="auto"/>
              </w:rPr>
            </w:pPr>
            <w:r>
              <w:rPr>
                <w:rFonts w:ascii="Arial" w:cs="Arial" w:eastAsia="Arial" w:hAnsi="Arial"/>
                <w:sz w:val="18"/>
                <w:szCs w:val="18"/>
                <w:b w:val="1"/>
                <w:bCs w:val="1"/>
                <w:color w:val="auto"/>
                <w:w w:val="99"/>
              </w:rPr>
              <w:t>713-646-4100 / 866-809-1291</w:t>
            </w:r>
          </w:p>
        </w:tc>
        <w:tc>
          <w:tcPr>
            <w:tcW w:w="40" w:type="dxa"/>
            <w:vAlign w:val="bottom"/>
          </w:tcPr>
          <w:p>
            <w:pPr>
              <w:spacing w:after="0"/>
              <w:rPr>
                <w:sz w:val="20"/>
                <w:szCs w:val="20"/>
                <w:color w:val="auto"/>
              </w:rPr>
            </w:pPr>
          </w:p>
        </w:tc>
      </w:tr>
      <w:tr>
        <w:trPr>
          <w:trHeight w:val="348"/>
        </w:trPr>
        <w:tc>
          <w:tcPr>
            <w:tcW w:w="640" w:type="dxa"/>
            <w:vAlign w:val="bottom"/>
            <w:tcBorders>
              <w:bottom w:val="single" w:sz="8" w:color="808080"/>
            </w:tcBorders>
          </w:tcPr>
          <w:p>
            <w:pPr>
              <w:spacing w:after="0"/>
              <w:rPr>
                <w:sz w:val="24"/>
                <w:szCs w:val="24"/>
                <w:color w:val="auto"/>
              </w:rPr>
            </w:pPr>
          </w:p>
        </w:tc>
        <w:tc>
          <w:tcPr>
            <w:tcW w:w="3960" w:type="dxa"/>
            <w:vAlign w:val="bottom"/>
            <w:tcBorders>
              <w:bottom w:val="single" w:sz="8" w:color="808080"/>
            </w:tcBorders>
          </w:tcPr>
          <w:p>
            <w:pPr>
              <w:spacing w:after="0"/>
              <w:rPr>
                <w:sz w:val="24"/>
                <w:szCs w:val="24"/>
                <w:color w:val="auto"/>
              </w:rPr>
            </w:pPr>
          </w:p>
        </w:tc>
        <w:tc>
          <w:tcPr>
            <w:tcW w:w="2120" w:type="dxa"/>
            <w:vAlign w:val="bottom"/>
            <w:tcBorders>
              <w:bottom w:val="single" w:sz="8" w:color="808080"/>
            </w:tcBorders>
          </w:tcPr>
          <w:p>
            <w:pPr>
              <w:spacing w:after="0"/>
              <w:rPr>
                <w:sz w:val="24"/>
                <w:szCs w:val="24"/>
                <w:color w:val="auto"/>
              </w:rPr>
            </w:pPr>
          </w:p>
        </w:tc>
        <w:tc>
          <w:tcPr>
            <w:tcW w:w="47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40"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o"/>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1)"/>
      <w:numFmt w:val="decimal"/>
      <w:start w:val="1"/>
    </w:lvl>
  </w:abstractNum>
  <w:abstractNum w:abstractNumId="4">
    <w:nsid w:val="3352255A"/>
    <w:multiLevelType w:val="hybridMultilevel"/>
    <w:lvl w:ilvl="0">
      <w:lvlJc w:val="left"/>
      <w:lvlText w:val="%1."/>
      <w:numFmt w:val="decimal"/>
      <w:start w:val="1"/>
    </w:lvl>
  </w:abstractNum>
  <w:abstractNum w:abstractNumId="5">
    <w:nsid w:val="109CF92E"/>
    <w:multiLevelType w:val="hybridMultilevel"/>
    <w:lvl w:ilvl="0">
      <w:lvlJc w:val="left"/>
      <w:lvlText w:val="(%1)"/>
      <w:numFmt w:val="decimal"/>
      <w:start w:val="1"/>
    </w:lvl>
  </w:abstractNum>
  <w:abstractNum w:abstractNumId="6">
    <w:nsid w:val="DED7263"/>
    <w:multiLevelType w:val="hybridMultilevel"/>
    <w:lvl w:ilvl="0">
      <w:lvlJc w:val="left"/>
      <w:lvlText w:val="(%1)"/>
      <w:numFmt w:val="decimal"/>
      <w:start w:val="1"/>
    </w:lvl>
  </w:abstractNum>
  <w:abstractNum w:abstractNumId="7">
    <w:nsid w:val="7FDCC233"/>
    <w:multiLevelType w:val="hybridMultilevel"/>
    <w:lvl w:ilvl="0">
      <w:lvlJc w:val="left"/>
      <w:lvlText w:val="(%1)"/>
      <w:numFmt w:val="decimal"/>
      <w:start w:val="1"/>
    </w:lvl>
  </w:abstractNum>
  <w:abstractNum w:abstractNumId="8">
    <w:nsid w:val="1BEFD79F"/>
    <w:multiLevelType w:val="hybridMultilevel"/>
    <w:lvl w:ilvl="0">
      <w:lvlJc w:val="left"/>
      <w:lvlText w:val="(%1)"/>
      <w:numFmt w:val="decimal"/>
      <w:start w:val="1"/>
    </w:lvl>
  </w:abstractNum>
  <w:abstractNum w:abstractNumId="9">
    <w:nsid w:val="41A7C4C9"/>
    <w:multiLevelType w:val="hybridMultilevel"/>
    <w:lvl w:ilvl="0">
      <w:lvlJc w:val="left"/>
      <w:lvlText w:val="(%1)"/>
      <w:numFmt w:val="decimal"/>
      <w:start w:val="1"/>
    </w:lvl>
  </w:abstractNum>
  <w:abstractNum w:abstractNumId="10">
    <w:nsid w:val="6B68079A"/>
    <w:multiLevelType w:val="hybridMultilevel"/>
    <w:lvl w:ilvl="0">
      <w:lvlJc w:val="left"/>
      <w:lvlText w:val="(%1)"/>
      <w:numFmt w:val="decimal"/>
      <w:start w:val="1"/>
    </w:lvl>
  </w:abstractNum>
  <w:abstractNum w:abstractNumId="11">
    <w:nsid w:val="4E6AFB66"/>
    <w:multiLevelType w:val="hybridMultilevel"/>
    <w:lvl w:ilvl="0">
      <w:lvlJc w:val="left"/>
      <w:lvlText w:val="(%1)"/>
      <w:numFmt w:val="decimal"/>
      <w:start w:val="2"/>
    </w:lvl>
  </w:abstractNum>
  <w:abstractNum w:abstractNumId="12">
    <w:nsid w:val="25E45D32"/>
    <w:multiLevelType w:val="hybridMultilevel"/>
    <w:lvl w:ilvl="0">
      <w:lvlJc w:val="left"/>
      <w:lvlText w:val="(%1)"/>
      <w:numFmt w:val="decimal"/>
      <w:start w:val="1"/>
    </w:lvl>
  </w:abstractNum>
  <w:abstractNum w:abstractNumId="13">
    <w:nsid w:val="519B500D"/>
    <w:multiLevelType w:val="hybridMultilevel"/>
    <w:lvl w:ilvl="0">
      <w:lvlJc w:val="left"/>
      <w:lvlText w:val="(%1)"/>
      <w:numFmt w:val="decimal"/>
      <w:start w:val="1"/>
    </w:lvl>
  </w:abstractNum>
  <w:abstractNum w:abstractNumId="14">
    <w:nsid w:val="431BD7B7"/>
    <w:multiLevelType w:val="hybridMultilevel"/>
    <w:lvl w:ilvl="0">
      <w:lvlJc w:val="left"/>
      <w:lvlText w:val="(%1)"/>
      <w:numFmt w:val="decimal"/>
      <w:start w:val="1"/>
    </w:lvl>
  </w:abstractNum>
  <w:abstractNum w:abstractNumId="15">
    <w:nsid w:val="3F2DBA31"/>
    <w:multiLevelType w:val="hybridMultilevel"/>
    <w:lvl w:ilvl="0">
      <w:lvlJc w:val="left"/>
      <w:lvlText w:val="(%1)"/>
      <w:numFmt w:val="decimal"/>
      <w:start w:val="1"/>
    </w:lvl>
  </w:abstractNum>
  <w:abstractNum w:abstractNumId="16">
    <w:nsid w:val="7C83E458"/>
    <w:multiLevelType w:val="hybridMultilevel"/>
    <w:lvl w:ilvl="0">
      <w:lvlJc w:val="left"/>
      <w:lvlText w:val="(%1)"/>
      <w:numFmt w:val="decimal"/>
      <w:start w:val="1"/>
    </w:lvl>
    <w:lvl w:ilvl="1">
      <w:lvlJc w:val="left"/>
      <w:lvlText w:val="-"/>
      <w:numFmt w:val="bullet"/>
      <w:start w:val="1"/>
    </w:lvl>
  </w:abstractNum>
  <w:abstractNum w:abstractNumId="17">
    <w:nsid w:val="257130A3"/>
    <w:multiLevelType w:val="hybridMultilevel"/>
    <w:lvl w:ilvl="0">
      <w:lvlJc w:val="left"/>
      <w:lvlText w:val="(%1)"/>
      <w:numFmt w:val="decimal"/>
      <w:start w:val="1"/>
    </w:lvl>
  </w:abstractNum>
  <w:abstractNum w:abstractNumId="18">
    <w:nsid w:val="62BBD95A"/>
    <w:multiLevelType w:val="hybridMultilevel"/>
    <w:lvl w:ilvl="0">
      <w:lvlJc w:val="left"/>
      <w:lvlText w:val="(%1)"/>
      <w:numFmt w:val="decimal"/>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2020-01-15T09:00:03Z</dcterms:created>
  <dcterms:modified xsi:type="dcterms:W3CDTF">2020-01-15T09:00:03Z</dcterms:modified>
</cp:coreProperties>
</file>