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August 14, 2015</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44" w:right="29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Amendment to 364-Day Credit Agreement</w:t>
      </w:r>
    </w:p>
    <w:p>
      <w:pPr>
        <w:spacing w:after="0" w:line="225" w:lineRule="exact"/>
        <w:rPr>
          <w:sz w:val="24"/>
          <w:szCs w:val="24"/>
          <w:color w:val="auto"/>
        </w:rPr>
      </w:pPr>
    </w:p>
    <w:p>
      <w:pPr>
        <w:ind w:right="80" w:firstLine="441"/>
        <w:spacing w:after="0" w:line="254" w:lineRule="auto"/>
        <w:rPr>
          <w:sz w:val="20"/>
          <w:szCs w:val="20"/>
          <w:color w:val="auto"/>
        </w:rPr>
      </w:pPr>
      <w:r>
        <w:rPr>
          <w:rFonts w:ascii="Arial" w:cs="Arial" w:eastAsia="Arial" w:hAnsi="Arial"/>
          <w:sz w:val="18"/>
          <w:szCs w:val="18"/>
          <w:color w:val="auto"/>
        </w:rPr>
        <w:t>On August 14, 2015, Plains All American Pipeline, L.P. (the “Partnership”), entered into that certain First Amendment to 364-Day Credit Agreement (the “364-Day Amendment”) amending the terms of its 364-Day Credit Agreement dated January16, 2015 (the “364-Day Credit Agreement”), among the Partnership, as Borrower; Bank of America, N.A., as Administrative Agent; Citibank, N.A., JPMorgan Chase Bank N.A. and Wells Fargo Bank, National Association, as Co-Syndication Agents; DNB Bank ASA, New York Branch and Mizuho Bank, Ltd., as Co-Documentation Agents; the other Lenders party thereto; and Merrill Lynch, Pierce, Fenner &amp; Smith Incorporated, Citigroup Global Markets Inc., DNB Markets, Inc., J.P. Morgan Securities LLC, Mizuho Bank, Ltd. and Wells Fargo Securities, LLC, as Joint Lead Arrangers and Joint Bookrunners. Pursuant to the 364-Day Amendment, the Maturity Date of the 364-Day credit facility has been extended to August 12, 2016. Terms used but not defined herein have the meanings assigned to them in the 364-Day Credit Agreement.</w:t>
      </w:r>
    </w:p>
    <w:p>
      <w:pPr>
        <w:spacing w:after="0" w:line="192" w:lineRule="exact"/>
        <w:rPr>
          <w:sz w:val="24"/>
          <w:szCs w:val="24"/>
          <w:color w:val="auto"/>
        </w:rPr>
      </w:pPr>
    </w:p>
    <w:p>
      <w:pPr>
        <w:ind w:right="360" w:firstLine="441"/>
        <w:spacing w:after="0" w:line="277" w:lineRule="auto"/>
        <w:rPr>
          <w:sz w:val="20"/>
          <w:szCs w:val="20"/>
          <w:color w:val="auto"/>
        </w:rPr>
      </w:pPr>
      <w:r>
        <w:rPr>
          <w:rFonts w:ascii="Arial" w:cs="Arial" w:eastAsia="Arial" w:hAnsi="Arial"/>
          <w:sz w:val="18"/>
          <w:szCs w:val="18"/>
          <w:color w:val="auto"/>
        </w:rPr>
        <w:t>The above description of the 364-Day Amendment is qualified in its entirety by the terms of the 364-Day Amendment, which is attached hereto as Exhibit 10.1 and incorporated herein by reference.</w:t>
      </w:r>
    </w:p>
    <w:p>
      <w:pPr>
        <w:spacing w:after="0" w:line="166"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disclosure set forth above in Item 1.01 is incorporated by reference herein.</w:t>
      </w:r>
    </w:p>
    <w:p>
      <w:pPr>
        <w:spacing w:after="0" w:line="221" w:lineRule="exact"/>
        <w:rPr>
          <w:sz w:val="24"/>
          <w:szCs w:val="24"/>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Extension of </w:t>
      </w:r>
      <w:r>
        <w:rPr>
          <w:rFonts w:ascii="Arial" w:cs="Arial" w:eastAsia="Arial" w:hAnsi="Arial"/>
          <w:sz w:val="17"/>
          <w:szCs w:val="17"/>
          <w:b w:val="1"/>
          <w:bCs w:val="1"/>
          <w:i w:val="1"/>
          <w:iCs w:val="1"/>
          <w:color w:val="auto"/>
        </w:rPr>
        <w:t>Hedged Inventory Facility</w:t>
      </w:r>
    </w:p>
    <w:p>
      <w:pPr>
        <w:spacing w:after="0" w:line="225" w:lineRule="exact"/>
        <w:rPr>
          <w:sz w:val="24"/>
          <w:szCs w:val="24"/>
          <w:color w:val="auto"/>
        </w:rPr>
      </w:pPr>
    </w:p>
    <w:p>
      <w:pPr>
        <w:ind w:firstLine="486"/>
        <w:spacing w:after="0" w:line="302" w:lineRule="auto"/>
        <w:rPr>
          <w:sz w:val="20"/>
          <w:szCs w:val="20"/>
          <w:color w:val="auto"/>
        </w:rPr>
      </w:pPr>
      <w:r>
        <w:rPr>
          <w:rFonts w:ascii="Arial" w:cs="Arial" w:eastAsia="Arial" w:hAnsi="Arial"/>
          <w:sz w:val="16"/>
          <w:szCs w:val="16"/>
          <w:color w:val="auto"/>
        </w:rPr>
        <w:t>Effective on and as of August 14, 2015, pursuant to Section 2.14 of that certain Third Amended and Restated Credit Agreement dated as of August 19, 2011 among Plains Marketing, L.P. and Plains Midstream Canada ULC (“PMC”), as Borrowers; the Partnership, as Guarantor; Bank of America, N.A., as Administrative Agent, Swing Line Lender and L/C Issuer; Wells Fargo Bank, National Association, as an L/C Issuer; and the other Lenders party thereto (as amended, the “Hedged Inventory Facility”), each Lender under the Hedged Inventory Facility consented to an extension of such Lender’s Maturity Date for</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100"/>
        <w:spacing w:after="0" w:line="277" w:lineRule="auto"/>
        <w:rPr>
          <w:sz w:val="20"/>
          <w:szCs w:val="20"/>
          <w:color w:val="auto"/>
        </w:rPr>
      </w:pPr>
      <w:r>
        <w:rPr>
          <w:rFonts w:ascii="Arial" w:cs="Arial" w:eastAsia="Arial" w:hAnsi="Arial"/>
          <w:sz w:val="18"/>
          <w:szCs w:val="18"/>
          <w:color w:val="auto"/>
        </w:rPr>
        <w:t>one additional year from the Existing Maturity Date. As a result, the Maturity Date of each Lender has been extended to August 16, 2018. Terms used but not defined herein have the meanings assigned to them in the Hedged Inventory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of Revolving Credit Facility</w:t>
      </w:r>
    </w:p>
    <w:p>
      <w:pPr>
        <w:spacing w:after="0" w:line="225"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Effective on and as of August 14, 2015, pursuant to Section 2.14 of that certain Credit Agreement dated as of August 19, 2011 among the Partnership and PMC, as Borrowers; Bank of America, N.A., as Administrative Agent, Swing Line Lender and L/C Issuer; Wells Fargo Bank, National Association, as an L/C Issuer; and the other Lenders party thereto (as amended, the “Credit Agreement”), each Lender under the Credit Agreement consented to an extension of such Lender’s Maturity Date for one additional year from the Existing Maturity Date. As a result, the Maturity Date of each Lender has been extended to August 14, 2020. Terms used but not defined herein have the meanings assigned to them in the Credit Agreement.</w:t>
      </w:r>
    </w:p>
    <w:p>
      <w:pPr>
        <w:spacing w:after="0" w:line="16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ind w:left="280"/>
              <w:spacing w:after="0"/>
              <w:rPr>
                <w:sz w:val="20"/>
                <w:szCs w:val="20"/>
                <w:color w:val="auto"/>
              </w:rPr>
            </w:pPr>
            <w:r>
              <w:rPr>
                <w:rFonts w:ascii="Arial" w:cs="Arial" w:eastAsia="Arial" w:hAnsi="Arial"/>
                <w:sz w:val="18"/>
                <w:szCs w:val="18"/>
                <w:b w:val="1"/>
                <w:bCs w:val="1"/>
                <w:color w:val="auto"/>
              </w:rPr>
              <w:t>(d) Exhibits</w:t>
            </w:r>
          </w:p>
        </w:tc>
        <w:tc>
          <w:tcPr>
            <w:tcW w:w="9940" w:type="dxa"/>
            <w:vAlign w:val="bottom"/>
          </w:tcPr>
          <w:p>
            <w:pPr>
              <w:spacing w:after="0"/>
              <w:rPr>
                <w:sz w:val="20"/>
                <w:szCs w:val="20"/>
                <w:color w:val="auto"/>
              </w:rPr>
            </w:pPr>
          </w:p>
        </w:tc>
      </w:tr>
      <w:tr>
        <w:trPr>
          <w:trHeight w:val="418"/>
        </w:trPr>
        <w:tc>
          <w:tcPr>
            <w:tcW w:w="1520" w:type="dxa"/>
            <w:vAlign w:val="bottom"/>
          </w:tcPr>
          <w:p>
            <w:pPr>
              <w:ind w:left="460"/>
              <w:spacing w:after="0"/>
              <w:rPr>
                <w:sz w:val="20"/>
                <w:szCs w:val="20"/>
                <w:color w:val="auto"/>
              </w:rPr>
            </w:pPr>
            <w:r>
              <w:rPr>
                <w:rFonts w:ascii="Arial" w:cs="Arial" w:eastAsia="Arial" w:hAnsi="Arial"/>
                <w:sz w:val="18"/>
                <w:szCs w:val="18"/>
                <w:color w:val="auto"/>
              </w:rPr>
              <w:t>Exhibit 10.1</w:t>
            </w: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   First Amendment to 364-Day Credit Agreement dated August 14, 2015 among Plains All American Pipeline, L.P., as Borrower;</w:t>
            </w:r>
          </w:p>
        </w:tc>
      </w:tr>
      <w:tr>
        <w:trPr>
          <w:trHeight w:val="216"/>
        </w:trPr>
        <w:tc>
          <w:tcPr>
            <w:tcW w:w="1520" w:type="dxa"/>
            <w:vAlign w:val="bottom"/>
          </w:tcPr>
          <w:p>
            <w:pPr>
              <w:spacing w:after="0"/>
              <w:rPr>
                <w:sz w:val="18"/>
                <w:szCs w:val="18"/>
                <w:color w:val="auto"/>
              </w:rPr>
            </w:pPr>
          </w:p>
        </w:tc>
        <w:tc>
          <w:tcPr>
            <w:tcW w:w="9940" w:type="dxa"/>
            <w:vAlign w:val="bottom"/>
          </w:tcPr>
          <w:p>
            <w:pPr>
              <w:ind w:left="500"/>
              <w:spacing w:after="0"/>
              <w:rPr>
                <w:sz w:val="20"/>
                <w:szCs w:val="20"/>
                <w:color w:val="auto"/>
              </w:rPr>
            </w:pPr>
            <w:r>
              <w:rPr>
                <w:rFonts w:ascii="Arial" w:cs="Arial" w:eastAsia="Arial" w:hAnsi="Arial"/>
                <w:sz w:val="18"/>
                <w:szCs w:val="18"/>
                <w:color w:val="auto"/>
                <w:w w:val="95"/>
              </w:rPr>
              <w:t>Bank of America, N.A., as Administrative Agent; Citibank, N.A., JPMorgan Chase Bank N.A. and Wells Fargo Bank, National</w:t>
            </w:r>
          </w:p>
        </w:tc>
      </w:tr>
      <w:tr>
        <w:trPr>
          <w:trHeight w:val="216"/>
        </w:trPr>
        <w:tc>
          <w:tcPr>
            <w:tcW w:w="1520" w:type="dxa"/>
            <w:vAlign w:val="bottom"/>
          </w:tcPr>
          <w:p>
            <w:pPr>
              <w:spacing w:after="0"/>
              <w:rPr>
                <w:sz w:val="18"/>
                <w:szCs w:val="18"/>
                <w:color w:val="auto"/>
              </w:rPr>
            </w:pPr>
          </w:p>
        </w:tc>
        <w:tc>
          <w:tcPr>
            <w:tcW w:w="9940" w:type="dxa"/>
            <w:vAlign w:val="bottom"/>
          </w:tcPr>
          <w:p>
            <w:pPr>
              <w:ind w:left="500"/>
              <w:spacing w:after="0"/>
              <w:rPr>
                <w:sz w:val="20"/>
                <w:szCs w:val="20"/>
                <w:color w:val="auto"/>
              </w:rPr>
            </w:pPr>
            <w:r>
              <w:rPr>
                <w:rFonts w:ascii="Arial" w:cs="Arial" w:eastAsia="Arial" w:hAnsi="Arial"/>
                <w:sz w:val="18"/>
                <w:szCs w:val="18"/>
                <w:color w:val="auto"/>
                <w:w w:val="97"/>
              </w:rPr>
              <w:t>Association, as Co-Syndication Agents; DNB Bank ASA, New York Branch and Mizuho Bank, Ltd., as Co-Documentation</w:t>
            </w:r>
          </w:p>
        </w:tc>
      </w:tr>
      <w:tr>
        <w:trPr>
          <w:trHeight w:val="216"/>
        </w:trPr>
        <w:tc>
          <w:tcPr>
            <w:tcW w:w="1520" w:type="dxa"/>
            <w:vAlign w:val="bottom"/>
          </w:tcPr>
          <w:p>
            <w:pPr>
              <w:spacing w:after="0"/>
              <w:rPr>
                <w:sz w:val="18"/>
                <w:szCs w:val="18"/>
                <w:color w:val="auto"/>
              </w:rPr>
            </w:pPr>
          </w:p>
        </w:tc>
        <w:tc>
          <w:tcPr>
            <w:tcW w:w="9940" w:type="dxa"/>
            <w:vAlign w:val="bottom"/>
          </w:tcPr>
          <w:p>
            <w:pPr>
              <w:ind w:left="500"/>
              <w:spacing w:after="0"/>
              <w:rPr>
                <w:sz w:val="20"/>
                <w:szCs w:val="20"/>
                <w:color w:val="auto"/>
              </w:rPr>
            </w:pPr>
            <w:r>
              <w:rPr>
                <w:rFonts w:ascii="Arial" w:cs="Arial" w:eastAsia="Arial" w:hAnsi="Arial"/>
                <w:sz w:val="18"/>
                <w:szCs w:val="18"/>
                <w:color w:val="auto"/>
                <w:w w:val="97"/>
              </w:rPr>
              <w:t>Agents; the other Lenders party thereto; and Merrill Lynch, Pierce, Fenner &amp; Smith Incorporated, Citigroup Global Markets</w:t>
            </w:r>
          </w:p>
        </w:tc>
      </w:tr>
      <w:tr>
        <w:trPr>
          <w:trHeight w:val="216"/>
        </w:trPr>
        <w:tc>
          <w:tcPr>
            <w:tcW w:w="1520" w:type="dxa"/>
            <w:vAlign w:val="bottom"/>
          </w:tcPr>
          <w:p>
            <w:pPr>
              <w:spacing w:after="0"/>
              <w:rPr>
                <w:sz w:val="18"/>
                <w:szCs w:val="18"/>
                <w:color w:val="auto"/>
              </w:rPr>
            </w:pPr>
          </w:p>
        </w:tc>
        <w:tc>
          <w:tcPr>
            <w:tcW w:w="9940" w:type="dxa"/>
            <w:vAlign w:val="bottom"/>
          </w:tcPr>
          <w:p>
            <w:pPr>
              <w:ind w:left="500"/>
              <w:spacing w:after="0"/>
              <w:rPr>
                <w:sz w:val="20"/>
                <w:szCs w:val="20"/>
                <w:color w:val="auto"/>
              </w:rPr>
            </w:pPr>
            <w:r>
              <w:rPr>
                <w:rFonts w:ascii="Arial" w:cs="Arial" w:eastAsia="Arial" w:hAnsi="Arial"/>
                <w:sz w:val="18"/>
                <w:szCs w:val="18"/>
                <w:color w:val="auto"/>
                <w:w w:val="99"/>
              </w:rPr>
              <w:t>Inc., DNB Markets, Inc., J.P. Morgan Securities LLC, Mizuho Bank, Ltd. and Wells Fargo Securities, LLC, as Joint Lead</w:t>
            </w:r>
          </w:p>
        </w:tc>
      </w:tr>
      <w:tr>
        <w:trPr>
          <w:trHeight w:val="230"/>
        </w:trPr>
        <w:tc>
          <w:tcPr>
            <w:tcW w:w="1520" w:type="dxa"/>
            <w:vAlign w:val="bottom"/>
          </w:tcPr>
          <w:p>
            <w:pPr>
              <w:spacing w:after="0"/>
              <w:rPr>
                <w:sz w:val="20"/>
                <w:szCs w:val="20"/>
                <w:color w:val="auto"/>
              </w:rPr>
            </w:pPr>
          </w:p>
        </w:tc>
        <w:tc>
          <w:tcPr>
            <w:tcW w:w="9940" w:type="dxa"/>
            <w:vAlign w:val="bottom"/>
          </w:tcPr>
          <w:p>
            <w:pPr>
              <w:ind w:left="500"/>
              <w:spacing w:after="0"/>
              <w:rPr>
                <w:sz w:val="20"/>
                <w:szCs w:val="20"/>
                <w:color w:val="auto"/>
              </w:rPr>
            </w:pPr>
            <w:r>
              <w:rPr>
                <w:rFonts w:ascii="Arial" w:cs="Arial" w:eastAsia="Arial" w:hAnsi="Arial"/>
                <w:sz w:val="18"/>
                <w:szCs w:val="18"/>
                <w:color w:val="auto"/>
              </w:rPr>
              <w:t>Arrangers and Joint Bookrunners.</w:t>
            </w:r>
          </w:p>
        </w:tc>
      </w:tr>
      <w:tr>
        <w:trPr>
          <w:trHeight w:val="432"/>
        </w:trPr>
        <w:tc>
          <w:tcPr>
            <w:tcW w:w="1520" w:type="dxa"/>
            <w:vAlign w:val="bottom"/>
          </w:tcPr>
          <w:p>
            <w:pPr>
              <w:spacing w:after="0"/>
              <w:rPr>
                <w:sz w:val="24"/>
                <w:szCs w:val="24"/>
                <w:color w:val="auto"/>
              </w:rPr>
            </w:pPr>
          </w:p>
        </w:tc>
        <w:tc>
          <w:tcPr>
            <w:tcW w:w="9940" w:type="dxa"/>
            <w:vAlign w:val="bottom"/>
          </w:tcPr>
          <w:p>
            <w:pPr>
              <w:ind w:left="4140"/>
              <w:spacing w:after="0"/>
              <w:rPr>
                <w:sz w:val="20"/>
                <w:szCs w:val="20"/>
                <w:color w:val="auto"/>
              </w:rPr>
            </w:pPr>
            <w:r>
              <w:rPr>
                <w:rFonts w:ascii="Arial" w:cs="Arial" w:eastAsia="Arial" w:hAnsi="Arial"/>
                <w:sz w:val="18"/>
                <w:szCs w:val="18"/>
                <w:color w:val="auto"/>
              </w:rPr>
              <w:t>2</w:t>
            </w:r>
          </w:p>
        </w:tc>
      </w:tr>
      <w:tr>
        <w:trPr>
          <w:trHeight w:val="132"/>
        </w:trPr>
        <w:tc>
          <w:tcPr>
            <w:tcW w:w="1520" w:type="dxa"/>
            <w:vAlign w:val="bottom"/>
            <w:tcBorders>
              <w:bottom w:val="single" w:sz="8" w:color="808080"/>
            </w:tcBorders>
          </w:tcPr>
          <w:p>
            <w:pPr>
              <w:spacing w:after="0"/>
              <w:rPr>
                <w:sz w:val="11"/>
                <w:szCs w:val="11"/>
                <w:color w:val="auto"/>
              </w:rPr>
            </w:pPr>
          </w:p>
        </w:tc>
        <w:tc>
          <w:tcPr>
            <w:tcW w:w="99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180" w:type="dxa"/>
            <w:vAlign w:val="bottom"/>
            <w:gridSpan w:val="3"/>
          </w:tcPr>
          <w:p>
            <w:pPr>
              <w:ind w:left="248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gridSpan w:val="4"/>
          </w:tcPr>
          <w:p>
            <w:pPr>
              <w:spacing w:after="0"/>
              <w:rPr>
                <w:sz w:val="20"/>
                <w:szCs w:val="20"/>
                <w:color w:val="auto"/>
              </w:rPr>
            </w:pPr>
            <w:r>
              <w:rPr>
                <w:rFonts w:ascii="Arial" w:cs="Arial" w:eastAsia="Arial" w:hAnsi="Arial"/>
                <w:sz w:val="18"/>
                <w:szCs w:val="18"/>
                <w:color w:val="auto"/>
              </w:rPr>
              <w:t>Date: August 14, 2015</w:t>
            </w:r>
          </w:p>
        </w:tc>
        <w:tc>
          <w:tcPr>
            <w:tcW w:w="3240" w:type="dxa"/>
            <w:vAlign w:val="bottom"/>
          </w:tcPr>
          <w:p>
            <w:pPr>
              <w:ind w:left="248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40" w:type="dxa"/>
            <w:vAlign w:val="bottom"/>
          </w:tcPr>
          <w:p>
            <w:pPr>
              <w:ind w:left="248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40" w:type="dxa"/>
            <w:vAlign w:val="bottom"/>
          </w:tcPr>
          <w:p>
            <w:pPr>
              <w:ind w:left="248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40" w:type="dxa"/>
            <w:vAlign w:val="bottom"/>
          </w:tcPr>
          <w:p>
            <w:pPr>
              <w:ind w:left="24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40" w:type="dxa"/>
            <w:vAlign w:val="bottom"/>
          </w:tcPr>
          <w:p>
            <w:pPr>
              <w:ind w:left="242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gridSpan w:val="2"/>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60" w:type="dxa"/>
            <w:vAlign w:val="bottom"/>
            <w:gridSpan w:val="2"/>
          </w:tcPr>
          <w:p>
            <w:pPr>
              <w:jc w:val="right"/>
              <w:ind w:right="450"/>
              <w:spacing w:after="0"/>
              <w:rPr>
                <w:sz w:val="20"/>
                <w:szCs w:val="20"/>
                <w:color w:val="auto"/>
              </w:rPr>
            </w:pPr>
            <w:r>
              <w:rPr>
                <w:rFonts w:ascii="Arial" w:cs="Arial" w:eastAsia="Arial" w:hAnsi="Arial"/>
                <w:sz w:val="18"/>
                <w:szCs w:val="18"/>
                <w:color w:val="auto"/>
              </w:rPr>
              <w:t>INDEX TO EXHIBITS</w:t>
            </w: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60" w:type="dxa"/>
            <w:vAlign w:val="bottom"/>
            <w:gridSpan w:val="2"/>
            <w:vMerge w:val="restart"/>
          </w:tcPr>
          <w:p>
            <w:pPr>
              <w:jc w:val="right"/>
              <w:ind w:right="450"/>
              <w:spacing w:after="0"/>
              <w:rPr>
                <w:sz w:val="20"/>
                <w:szCs w:val="20"/>
                <w:color w:val="auto"/>
              </w:rPr>
            </w:pPr>
            <w:r>
              <w:rPr>
                <w:rFonts w:ascii="Arial" w:cs="Arial" w:eastAsia="Arial" w:hAnsi="Arial"/>
                <w:sz w:val="14"/>
                <w:szCs w:val="14"/>
                <w:b w:val="1"/>
                <w:bCs w:val="1"/>
                <w:color w:val="auto"/>
              </w:rPr>
              <w:t>Description</w:t>
            </w: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4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6"/>
                <w:szCs w:val="16"/>
                <w:color w:val="auto"/>
              </w:rPr>
            </w:pPr>
          </w:p>
        </w:tc>
        <w:tc>
          <w:tcPr>
            <w:tcW w:w="1042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7"/>
              </w:rPr>
              <w:t>First Amendment to 364-Day Credit Agreement dated August 14, 2015 among Plains All American Pipeline, L.P., as Borrower; Bank of</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20" w:type="dxa"/>
            <w:vAlign w:val="bottom"/>
            <w:gridSpan w:val="5"/>
          </w:tcPr>
          <w:p>
            <w:pPr>
              <w:ind w:left="200"/>
              <w:spacing w:after="0"/>
              <w:rPr>
                <w:sz w:val="20"/>
                <w:szCs w:val="20"/>
                <w:color w:val="auto"/>
              </w:rPr>
            </w:pPr>
            <w:r>
              <w:rPr>
                <w:rFonts w:ascii="Arial" w:cs="Arial" w:eastAsia="Arial" w:hAnsi="Arial"/>
                <w:sz w:val="18"/>
                <w:szCs w:val="18"/>
                <w:color w:val="auto"/>
                <w:w w:val="95"/>
              </w:rPr>
              <w:t>America, N.A., as Administrative Agent; Citibank, N.A., JPMorgan Chase Bank N.A. and Wells Fargo Bank, National Association, as Co-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20" w:type="dxa"/>
            <w:vAlign w:val="bottom"/>
            <w:gridSpan w:val="5"/>
          </w:tcPr>
          <w:p>
            <w:pPr>
              <w:ind w:left="200"/>
              <w:spacing w:after="0"/>
              <w:rPr>
                <w:sz w:val="20"/>
                <w:szCs w:val="20"/>
                <w:color w:val="auto"/>
              </w:rPr>
            </w:pPr>
            <w:r>
              <w:rPr>
                <w:rFonts w:ascii="Arial" w:cs="Arial" w:eastAsia="Arial" w:hAnsi="Arial"/>
                <w:sz w:val="18"/>
                <w:szCs w:val="18"/>
                <w:color w:val="auto"/>
                <w:w w:val="97"/>
              </w:rPr>
              <w:t>Syndication Agents; DNB Bank ASA, New York Branch and Mizuho Bank, Ltd., as Co-Documentation Agents; the other Lenders party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20" w:type="dxa"/>
            <w:vAlign w:val="bottom"/>
            <w:gridSpan w:val="5"/>
          </w:tcPr>
          <w:p>
            <w:pPr>
              <w:ind w:left="200"/>
              <w:spacing w:after="0"/>
              <w:rPr>
                <w:sz w:val="20"/>
                <w:szCs w:val="20"/>
                <w:color w:val="auto"/>
              </w:rPr>
            </w:pPr>
            <w:r>
              <w:rPr>
                <w:rFonts w:ascii="Arial" w:cs="Arial" w:eastAsia="Arial" w:hAnsi="Arial"/>
                <w:sz w:val="18"/>
                <w:szCs w:val="18"/>
                <w:color w:val="auto"/>
                <w:w w:val="95"/>
              </w:rPr>
              <w:t>thereto; and Merrill Lynch, Pierce, Fenner &amp; Smith Incorporated, Citigroup Global Markets Inc., DNB Markets, Inc., J.P. Morgan Securities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20" w:type="dxa"/>
            <w:vAlign w:val="bottom"/>
            <w:gridSpan w:val="5"/>
          </w:tcPr>
          <w:p>
            <w:pPr>
              <w:ind w:left="200"/>
              <w:spacing w:after="0"/>
              <w:rPr>
                <w:sz w:val="20"/>
                <w:szCs w:val="20"/>
                <w:color w:val="auto"/>
              </w:rPr>
            </w:pPr>
            <w:r>
              <w:rPr>
                <w:rFonts w:ascii="Arial" w:cs="Arial" w:eastAsia="Arial" w:hAnsi="Arial"/>
                <w:sz w:val="18"/>
                <w:szCs w:val="18"/>
                <w:color w:val="auto"/>
              </w:rPr>
              <w:t>LLC, Mizuho Bank, Ltd. and Wells Fargo Securities, LLC, as Joint Lead Arrangers and Joint Bookrunners.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40" w:type="dxa"/>
            <w:vAlign w:val="bottom"/>
          </w:tcPr>
          <w:p>
            <w:pPr>
              <w:ind w:left="242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32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-1915795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-1915795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364-DAY 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14,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 JPMORGAN CHASE BANK,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WELLS FARGO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BANK ASA, NEW YORK BRANCH and MIZUHO BANK,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Lenders Party Hereto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CITIGROUP GLOBAL MARKETS INC., DNB MARKETS,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 MORGAN SECURITIES LLC, MIZUHO BANK, LTD.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SECURITIES,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Lead Arrangers and Joint Bookrunners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Unsecured 364- Day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364-DAY CREDIT AGREEMENT</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THIS FIRST AMENDMENT TO 364-DAY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the 14th day of August, 2015, is by and among PLAINS ALL AMERICAN PIPELINE, L.P. (the “</w:t>
      </w:r>
      <w:r>
        <w:rPr>
          <w:rFonts w:ascii="Arial" w:cs="Arial" w:eastAsia="Arial" w:hAnsi="Arial"/>
          <w:sz w:val="17"/>
          <w:szCs w:val="17"/>
          <w:u w:val="single" w:color="auto"/>
          <w:color w:val="auto"/>
        </w:rPr>
        <w:t>Borrower</w:t>
      </w:r>
      <w:r>
        <w:rPr>
          <w:rFonts w:ascii="Arial" w:cs="Arial" w:eastAsia="Arial" w:hAnsi="Arial"/>
          <w:sz w:val="17"/>
          <w:szCs w:val="17"/>
          <w:color w:val="auto"/>
        </w:rPr>
        <w:t>”), BANK OF AMERICA, N.A., as Administrative Agent, and the Lenders party hereto.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WHEREAS, Borrower, Administrative Agent and Lenders entered into that certain 364-Day Credit Agreement dated as of January 16, 2015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for the purposes and consideration therein expressed; and</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Merrill Lynch, Pierce, Fenner &amp; Smith Incorporated (“</w:t>
      </w:r>
      <w:r>
        <w:rPr>
          <w:rFonts w:ascii="Arial" w:cs="Arial" w:eastAsia="Arial" w:hAnsi="Arial"/>
          <w:sz w:val="18"/>
          <w:szCs w:val="18"/>
          <w:u w:val="single" w:color="auto"/>
          <w:color w:val="auto"/>
        </w:rPr>
        <w:t>Lead Arranger</w:t>
      </w:r>
      <w:r>
        <w:rPr>
          <w:rFonts w:ascii="Arial" w:cs="Arial" w:eastAsia="Arial" w:hAnsi="Arial"/>
          <w:sz w:val="18"/>
          <w:szCs w:val="18"/>
          <w:color w:val="auto"/>
        </w:rPr>
        <w:t>”), has, at the Borrower’s request, syndicated and arranged for an extension of the maturity date set forth in the Original Agreement, and pursuant thereto, the Borrowers, Administrative Agent and the Lenders party hereto desire to amend the Original Agreement for the purposes described herein;</w:t>
      </w:r>
    </w:p>
    <w:p>
      <w:pPr>
        <w:spacing w:after="0" w:line="181"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 — </w:t>
      </w:r>
      <w:r>
        <w:rPr>
          <w:rFonts w:ascii="Arial" w:cs="Arial" w:eastAsia="Arial" w:hAnsi="Arial"/>
          <w:sz w:val="18"/>
          <w:szCs w:val="18"/>
          <w:u w:val="single" w:color="auto"/>
          <w:color w:val="auto"/>
        </w:rPr>
        <w:t>Definitions and References</w:t>
      </w:r>
    </w:p>
    <w:p>
      <w:pPr>
        <w:spacing w:after="0" w:line="225" w:lineRule="exact"/>
        <w:rPr>
          <w:sz w:val="20"/>
          <w:szCs w:val="20"/>
          <w:color w:val="auto"/>
        </w:rPr>
      </w:pPr>
    </w:p>
    <w:p>
      <w:pPr>
        <w:ind w:right="280" w:firstLine="656"/>
        <w:spacing w:after="0" w:line="277" w:lineRule="auto"/>
        <w:tabs>
          <w:tab w:leader="none" w:pos="78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Terms Defined in the Original Agreement</w:t>
      </w:r>
      <w:r>
        <w:rPr>
          <w:rFonts w:ascii="Arial" w:cs="Arial" w:eastAsia="Arial" w:hAnsi="Arial"/>
          <w:sz w:val="18"/>
          <w:szCs w:val="18"/>
          <w:color w:val="auto"/>
        </w:rPr>
        <w:t>. Unless the context otherwise requires or unless otherwise expressly defined herein, the terms defined in the Original Agreement shall have the same meanings whenever used in this Amendment.</w:t>
      </w:r>
    </w:p>
    <w:p>
      <w:pPr>
        <w:spacing w:after="0" w:line="170" w:lineRule="exact"/>
        <w:rPr>
          <w:rFonts w:ascii="Arial" w:cs="Arial" w:eastAsia="Arial" w:hAnsi="Arial"/>
          <w:sz w:val="18"/>
          <w:szCs w:val="18"/>
          <w:color w:val="auto"/>
        </w:rPr>
      </w:pPr>
    </w:p>
    <w:p>
      <w:pPr>
        <w:ind w:right="260" w:firstLine="656"/>
        <w:spacing w:after="0" w:line="277" w:lineRule="auto"/>
        <w:tabs>
          <w:tab w:leader="none" w:pos="78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xml:space="preserve">. Unless the context otherwise requires, the following terms when used in this Amendment shall have the meanings assigned to them in this </w:t>
      </w:r>
      <w:r>
        <w:rPr>
          <w:rFonts w:ascii="Arial" w:cs="Arial" w:eastAsia="Arial" w:hAnsi="Arial"/>
          <w:sz w:val="18"/>
          <w:szCs w:val="18"/>
          <w:u w:val="single" w:color="auto"/>
          <w:color w:val="auto"/>
        </w:rPr>
        <w:t>§ 1.2</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 3.1</w:t>
      </w:r>
      <w:r>
        <w:rPr>
          <w:rFonts w:ascii="Arial" w:cs="Arial" w:eastAsia="Arial" w:hAnsi="Arial"/>
          <w:sz w:val="18"/>
          <w:szCs w:val="18"/>
          <w:color w:val="auto"/>
        </w:rPr>
        <w:t xml:space="preserve"> of this Amendment.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Original Agreement as amended hereby.</w:t>
      </w:r>
    </w:p>
    <w:p>
      <w:pPr>
        <w:sectPr>
          <w:pgSz w:w="11900" w:h="16838" w:orient="portrait"/>
          <w:cols w:equalWidth="0" w:num="1">
            <w:col w:w="11420"/>
          </w:cols>
          <w:pgMar w:left="240" w:top="121" w:right="239" w:bottom="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 xml:space="preserve">ARTICLE II. — </w:t>
      </w:r>
      <w:r>
        <w:rPr>
          <w:rFonts w:ascii="Arial" w:cs="Arial" w:eastAsia="Arial" w:hAnsi="Arial"/>
          <w:sz w:val="18"/>
          <w:szCs w:val="18"/>
          <w:u w:val="single" w:color="auto"/>
          <w:color w:val="auto"/>
        </w:rPr>
        <w:t>Amendments</w:t>
      </w:r>
    </w:p>
    <w:p>
      <w:pPr>
        <w:spacing w:after="0" w:line="225" w:lineRule="exact"/>
        <w:rPr>
          <w:sz w:val="20"/>
          <w:szCs w:val="20"/>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The definition of “Maturity Date”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the Original Agreement is hereby amended in its entirety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read as follows: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August 12, 2016.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ARTICLE III. — </w:t>
      </w:r>
      <w:r>
        <w:rPr>
          <w:rFonts w:ascii="Arial" w:cs="Arial" w:eastAsia="Arial" w:hAnsi="Arial"/>
          <w:sz w:val="18"/>
          <w:szCs w:val="18"/>
          <w:u w:val="single" w:color="auto"/>
          <w:color w:val="auto"/>
        </w:rPr>
        <w:t>Conditions of Effectiveness</w:t>
      </w:r>
    </w:p>
    <w:p>
      <w:pPr>
        <w:spacing w:after="0" w:line="225" w:lineRule="exact"/>
        <w:rPr>
          <w:sz w:val="20"/>
          <w:szCs w:val="20"/>
          <w:color w:val="auto"/>
        </w:rPr>
      </w:pPr>
    </w:p>
    <w:p>
      <w:pPr>
        <w:ind w:right="80" w:firstLine="656"/>
        <w:spacing w:after="0" w:line="277" w:lineRule="auto"/>
        <w:tabs>
          <w:tab w:leader="none" w:pos="78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This Amendment shall become effective as of the date first written above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upon the satisfaction of the following conditions precedent:</w:t>
      </w:r>
    </w:p>
    <w:p>
      <w:pPr>
        <w:spacing w:after="0" w:line="170" w:lineRule="exact"/>
        <w:rPr>
          <w:sz w:val="20"/>
          <w:szCs w:val="20"/>
          <w:color w:val="auto"/>
        </w:rPr>
      </w:pPr>
    </w:p>
    <w:p>
      <w:pPr>
        <w:ind w:firstLine="656"/>
        <w:spacing w:after="0" w:line="302" w:lineRule="auto"/>
        <w:tabs>
          <w:tab w:leader="none" w:pos="129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Administrative Agent’s receipt of the following, each of which shall be originals, telecopies or other electronic copies (followed promptly by originals) unless otherwise specified, each properly executed by a Responsible Officer of the Borrower,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54" w:lineRule="exact"/>
        <w:rPr>
          <w:rFonts w:ascii="Arial" w:cs="Arial" w:eastAsia="Arial" w:hAnsi="Arial"/>
          <w:sz w:val="16"/>
          <w:szCs w:val="16"/>
          <w:color w:val="auto"/>
        </w:rPr>
      </w:pPr>
    </w:p>
    <w:p>
      <w:pPr>
        <w:ind w:left="1980" w:hanging="675"/>
        <w:spacing w:after="0"/>
        <w:tabs>
          <w:tab w:leader="none" w:pos="1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executed counterparts of this Amendment, sufficient in number for distribution to the Administrative Agent, each Lender and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Borrower;</w:t>
      </w:r>
    </w:p>
    <w:p>
      <w:pPr>
        <w:spacing w:after="0" w:line="210" w:lineRule="exact"/>
        <w:rPr>
          <w:rFonts w:ascii="Arial" w:cs="Arial" w:eastAsia="Arial" w:hAnsi="Arial"/>
          <w:sz w:val="17"/>
          <w:szCs w:val="17"/>
          <w:color w:val="auto"/>
        </w:rPr>
      </w:pPr>
    </w:p>
    <w:p>
      <w:pPr>
        <w:ind w:left="660" w:firstLine="645"/>
        <w:spacing w:after="0" w:line="259" w:lineRule="auto"/>
        <w:tabs>
          <w:tab w:leader="none" w:pos="1987" w:val="left"/>
        </w:tabs>
        <w:numPr>
          <w:ilvl w:val="1"/>
          <w:numId w:val="6"/>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Borrower as the Administrative Agent may reasonably require evidencing the identity, authority and capacity of each Responsible Officer thereof authorized to act as a Responsible Officer in connection with this Amendment and the other Loan Documents to which Borrower is a party delivered pursuant to this §3.1;</w:t>
      </w:r>
    </w:p>
    <w:p>
      <w:pPr>
        <w:spacing w:after="0" w:line="186" w:lineRule="exact"/>
        <w:rPr>
          <w:rFonts w:ascii="Arial" w:cs="Arial" w:eastAsia="Arial" w:hAnsi="Arial"/>
          <w:sz w:val="18"/>
          <w:szCs w:val="18"/>
          <w:color w:val="auto"/>
        </w:rPr>
      </w:pPr>
    </w:p>
    <w:p>
      <w:pPr>
        <w:ind w:left="660" w:firstLine="645"/>
        <w:spacing w:after="0" w:line="264" w:lineRule="auto"/>
        <w:tabs>
          <w:tab w:leader="none" w:pos="1997" w:val="left"/>
        </w:tabs>
        <w:numPr>
          <w:ilvl w:val="1"/>
          <w:numId w:val="6"/>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Borrower, General Partner and GP LLC are duly organized or formed, and that Borrower is validly existing and in good standing in its jurisdiction of organization, issued by the appropriate authorities of such jurisdiction;</w:t>
      </w:r>
    </w:p>
    <w:p>
      <w:pPr>
        <w:spacing w:after="0" w:line="181" w:lineRule="exact"/>
        <w:rPr>
          <w:rFonts w:ascii="Arial" w:cs="Arial" w:eastAsia="Arial" w:hAnsi="Arial"/>
          <w:sz w:val="18"/>
          <w:szCs w:val="18"/>
          <w:color w:val="auto"/>
        </w:rPr>
      </w:pPr>
    </w:p>
    <w:p>
      <w:pPr>
        <w:ind w:left="660" w:right="220" w:firstLine="645"/>
        <w:spacing w:after="0" w:line="277" w:lineRule="auto"/>
        <w:tabs>
          <w:tab w:leader="none" w:pos="1973" w:val="left"/>
        </w:tabs>
        <w:numPr>
          <w:ilvl w:val="1"/>
          <w:numId w:val="6"/>
        </w:numPr>
        <w:rPr>
          <w:rFonts w:ascii="Arial" w:cs="Arial" w:eastAsia="Arial" w:hAnsi="Arial"/>
          <w:sz w:val="18"/>
          <w:szCs w:val="18"/>
          <w:color w:val="auto"/>
        </w:rPr>
      </w:pPr>
      <w:r>
        <w:rPr>
          <w:rFonts w:ascii="Arial" w:cs="Arial" w:eastAsia="Arial" w:hAnsi="Arial"/>
          <w:sz w:val="18"/>
          <w:szCs w:val="18"/>
          <w:color w:val="auto"/>
        </w:rPr>
        <w:t>favorable opinions of (A) Richard McGee, Esq., General Counsel for Borrower and (B) Norton Rose Fulbright US LLP, special Texas and New York counsel to the Borrower, addressed to the Administrative Agent and each Lender;</w:t>
      </w:r>
    </w:p>
    <w:p>
      <w:pPr>
        <w:spacing w:after="0" w:line="170" w:lineRule="exact"/>
        <w:rPr>
          <w:rFonts w:ascii="Arial" w:cs="Arial" w:eastAsia="Arial" w:hAnsi="Arial"/>
          <w:sz w:val="18"/>
          <w:szCs w:val="18"/>
          <w:color w:val="auto"/>
        </w:rPr>
      </w:pPr>
    </w:p>
    <w:p>
      <w:pPr>
        <w:ind w:left="660" w:right="100" w:firstLine="645"/>
        <w:spacing w:after="0" w:line="264" w:lineRule="auto"/>
        <w:tabs>
          <w:tab w:leader="none" w:pos="1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of Borrower certifying (A) that the conditions specified in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Credit Agreement have been satisfied and (B) that there has been no event or circumstance since December 31, 2014 that has had or could be reasonably expected to have, either individually or in the aggregate, a Material Adverse Effect;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6"/>
        </w:numPr>
        <w:rPr>
          <w:rFonts w:ascii="Arial" w:cs="Arial" w:eastAsia="Arial" w:hAnsi="Arial"/>
          <w:sz w:val="17"/>
          <w:szCs w:val="17"/>
          <w:color w:val="auto"/>
        </w:rPr>
      </w:pPr>
      <w:r>
        <w:rPr>
          <w:rFonts w:ascii="Arial" w:cs="Arial" w:eastAsia="Arial" w:hAnsi="Arial"/>
          <w:sz w:val="17"/>
          <w:szCs w:val="17"/>
          <w:color w:val="auto"/>
        </w:rPr>
        <w:t>such other assurances, certificates, documents, consents or opinions as the Administrative Agent may reasonably require.</w:t>
      </w:r>
    </w:p>
    <w:p>
      <w:pPr>
        <w:spacing w:after="0" w:line="236" w:lineRule="exact"/>
        <w:rPr>
          <w:rFonts w:ascii="Arial" w:cs="Arial" w:eastAsia="Arial" w:hAnsi="Arial"/>
          <w:sz w:val="17"/>
          <w:szCs w:val="17"/>
          <w:color w:val="auto"/>
        </w:rPr>
      </w:pPr>
    </w:p>
    <w:p>
      <w:pPr>
        <w:jc w:val="both"/>
        <w:ind w:right="360" w:firstLine="656"/>
        <w:spacing w:after="0" w:line="264"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consents, licenses and approvals required in connection with the execution, delivery and performance by Borrower and the validity against Borrower of this Amendment and each of the other Loan Documents to which it is a party shall have been obtained and shall be in full force and effect.</w:t>
      </w:r>
    </w:p>
    <w:p>
      <w:pPr>
        <w:spacing w:after="0" w:line="181" w:lineRule="exact"/>
        <w:rPr>
          <w:rFonts w:ascii="Arial" w:cs="Arial" w:eastAsia="Arial" w:hAnsi="Arial"/>
          <w:sz w:val="18"/>
          <w:szCs w:val="18"/>
          <w:color w:val="auto"/>
        </w:rPr>
      </w:pPr>
    </w:p>
    <w:p>
      <w:pPr>
        <w:ind w:right="120" w:firstLine="656"/>
        <w:spacing w:after="0" w:line="277" w:lineRule="auto"/>
        <w:tabs>
          <w:tab w:leader="none" w:pos="130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shall not have occurred during the period from December 31, 2014 through and including the Amendment Effective Date any event or condition that has had or could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reasonably be expected, either individually or in the aggregate, to have a Material Adverse Effect, and there shall be no actions, suits, investigations, proceedings, claims or disputes pending or, to the knowledge of Borrower, threatened in writing, at law, in equity, in arbitration or before any Governmental Authority, by or against the Borrower or any of its Subsidiaries or against any of their properties or revenues that either individually or in the aggregate, could reasonably be expected to have a Material Adverse Effect.</w:t>
      </w:r>
    </w:p>
    <w:p>
      <w:pPr>
        <w:spacing w:after="0" w:line="187" w:lineRule="exact"/>
        <w:rPr>
          <w:sz w:val="20"/>
          <w:szCs w:val="20"/>
          <w:color w:val="auto"/>
        </w:rPr>
      </w:pPr>
    </w:p>
    <w:p>
      <w:pPr>
        <w:jc w:val="both"/>
        <w:ind w:right="200" w:firstLine="656"/>
        <w:spacing w:after="0" w:line="264" w:lineRule="auto"/>
        <w:tabs>
          <w:tab w:leader="none" w:pos="1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fees due the Lead Arranger, Administrative Agent or any Lender, including any arrangement fees, agency fees and upfront fees, and any expenses incurred by the Lead Arranger and Administrative Agent, in each case, as agreed in writing by the Borrower, required to be paid on or before the Amendment Effective Date shall have been paid.</w:t>
      </w:r>
    </w:p>
    <w:p>
      <w:pPr>
        <w:spacing w:after="0" w:line="181" w:lineRule="exact"/>
        <w:rPr>
          <w:rFonts w:ascii="Arial" w:cs="Arial" w:eastAsia="Arial" w:hAnsi="Arial"/>
          <w:sz w:val="18"/>
          <w:szCs w:val="18"/>
          <w:color w:val="auto"/>
        </w:rPr>
      </w:pPr>
    </w:p>
    <w:p>
      <w:pPr>
        <w:ind w:right="20" w:firstLine="656"/>
        <w:spacing w:after="0" w:line="277" w:lineRule="auto"/>
        <w:tabs>
          <w:tab w:leader="none" w:pos="1307" w:val="left"/>
        </w:tabs>
        <w:numPr>
          <w:ilvl w:val="0"/>
          <w:numId w:val="7"/>
        </w:numPr>
        <w:rPr>
          <w:rFonts w:ascii="Arial" w:cs="Arial" w:eastAsia="Arial" w:hAnsi="Arial"/>
          <w:sz w:val="18"/>
          <w:szCs w:val="18"/>
          <w:color w:val="auto"/>
        </w:rPr>
      </w:pPr>
      <w:r>
        <w:rPr>
          <w:rFonts w:ascii="Arial" w:cs="Arial" w:eastAsia="Arial" w:hAnsi="Arial"/>
          <w:sz w:val="18"/>
          <w:szCs w:val="18"/>
          <w:color w:val="auto"/>
        </w:rPr>
        <w:t>Borrower shall have paid all reasonable fees, charges and disbursements of counsel to the Administrative Agent to the extent invoiced prior to the Amendment Effective Date.</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purposes of determining compliance with the conditions specified in this §3.1,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Borrower with a copy of any such notice received by the Administrative Agent.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ARTICLE IV. — </w:t>
      </w:r>
      <w:r>
        <w:rPr>
          <w:rFonts w:ascii="Arial" w:cs="Arial" w:eastAsia="Arial" w:hAnsi="Arial"/>
          <w:sz w:val="18"/>
          <w:szCs w:val="18"/>
          <w:u w:val="single" w:color="auto"/>
          <w:color w:val="auto"/>
        </w:rPr>
        <w:t>Representations and Warranties</w:t>
      </w:r>
    </w:p>
    <w:p>
      <w:pPr>
        <w:sectPr>
          <w:pgSz w:w="11900" w:h="16838" w:orient="portrait"/>
          <w:cols w:equalWidth="0" w:num="1">
            <w:col w:w="11380"/>
          </w:cols>
          <w:pgMar w:left="240" w:top="125" w:right="279" w:bottom="32" w:gutter="0" w:footer="0" w:header="0"/>
        </w:sectPr>
      </w:pPr>
    </w:p>
    <w:bookmarkStart w:id="4" w:name="page5"/>
    <w:bookmarkEnd w:id="4"/>
    <w:p>
      <w:pPr>
        <w:ind w:right="20" w:firstLine="656"/>
        <w:spacing w:after="0" w:line="277" w:lineRule="auto"/>
        <w:tabs>
          <w:tab w:leader="none" w:pos="78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Representations and Warranties of Borrower</w:t>
      </w:r>
      <w:r>
        <w:rPr>
          <w:rFonts w:ascii="Arial" w:cs="Arial" w:eastAsia="Arial" w:hAnsi="Arial"/>
          <w:sz w:val="18"/>
          <w:szCs w:val="18"/>
          <w:color w:val="auto"/>
        </w:rPr>
        <w:t>. In order to induce Administrative Agent and Lenders to enter into this Amendment, Borrower represents and warrants to Administrative Agent and each Lender that:</w:t>
      </w:r>
    </w:p>
    <w:p>
      <w:pPr>
        <w:spacing w:after="0" w:line="170" w:lineRule="exact"/>
        <w:rPr>
          <w:sz w:val="20"/>
          <w:szCs w:val="20"/>
          <w:color w:val="auto"/>
        </w:rPr>
      </w:pPr>
    </w:p>
    <w:p>
      <w:pPr>
        <w:ind w:right="40" w:firstLine="656"/>
        <w:spacing w:after="0" w:line="276" w:lineRule="auto"/>
        <w:tabs>
          <w:tab w:leader="none" w:pos="1294"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Borrower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Credit Agreement and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Arial" w:cs="Arial" w:eastAsia="Arial" w:hAnsi="Arial"/>
          <w:sz w:val="17"/>
          <w:szCs w:val="17"/>
          <w:u w:val="single" w:color="auto"/>
          <w:color w:val="auto"/>
        </w:rPr>
        <w:t>subsections (a) and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of the Credit Agreement shall be deemed to refer to the most recent statements furnished pursuant to </w:t>
      </w:r>
      <w:r>
        <w:rPr>
          <w:rFonts w:ascii="Arial" w:cs="Arial" w:eastAsia="Arial" w:hAnsi="Arial"/>
          <w:sz w:val="17"/>
          <w:szCs w:val="17"/>
          <w:u w:val="single" w:color="auto"/>
          <w:color w:val="auto"/>
        </w:rPr>
        <w:t>clauses (a) and (b)</w:t>
      </w:r>
      <w:r>
        <w:rPr>
          <w:rFonts w:ascii="Arial" w:cs="Arial" w:eastAsia="Arial" w:hAnsi="Arial"/>
          <w:sz w:val="17"/>
          <w:szCs w:val="17"/>
          <w:color w:val="auto"/>
        </w:rPr>
        <w:t xml:space="preserve">,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of the Credit Agreement.</w:t>
      </w:r>
    </w:p>
    <w:p>
      <w:pPr>
        <w:spacing w:after="0" w:line="172" w:lineRule="exact"/>
        <w:rPr>
          <w:rFonts w:ascii="Arial" w:cs="Arial" w:eastAsia="Arial" w:hAnsi="Arial"/>
          <w:sz w:val="17"/>
          <w:szCs w:val="17"/>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Default has occurred and is continuing as of the Amendment Effective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V. —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40" w:firstLine="656"/>
        <w:spacing w:after="0" w:line="259" w:lineRule="auto"/>
        <w:tabs>
          <w:tab w:leader="none" w:pos="7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Ratification of Agreements</w:t>
      </w:r>
      <w:r>
        <w:rPr>
          <w:rFonts w:ascii="Arial" w:cs="Arial" w:eastAsia="Arial" w:hAnsi="Arial"/>
          <w:sz w:val="18"/>
          <w:szCs w:val="18"/>
          <w:color w:val="auto"/>
        </w:rPr>
        <w:t>. The Original Agreement, as hereby amended, is hereby ratified and confirmed in all respects. The Loan Documents, as they may be amended or affected by this Amendment, are hereby ratified and confirmed in all respects by Borrower. Any reference to the Original Agreement in any Loan Document shall be deemed to refer to the Credit Agreement. The execution, delivery and effectiveness of this Amendment shall not, except as expressly provided herein, operate as a waiver of any right, power or remedy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Administrative Agent or any Lender under the Credit Agreement or any other Loan Document nor constitute a waiver of any provision of the Credit Agreement or any other Loan Document.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 5.2.</w:t>
      </w:r>
      <w:r>
        <w:rPr>
          <w:sz w:val="20"/>
          <w:szCs w:val="20"/>
          <w:color w:val="auto"/>
        </w:rPr>
        <w:tab/>
      </w:r>
      <w:r>
        <w:rPr>
          <w:rFonts w:ascii="Arial" w:cs="Arial" w:eastAsia="Arial" w:hAnsi="Arial"/>
          <w:sz w:val="16"/>
          <w:szCs w:val="16"/>
          <w:u w:val="single" w:color="auto"/>
          <w:color w:val="auto"/>
        </w:rPr>
        <w:t>Loan Documents</w:t>
      </w:r>
      <w:r>
        <w:rPr>
          <w:rFonts w:ascii="Arial" w:cs="Arial" w:eastAsia="Arial" w:hAnsi="Arial"/>
          <w:sz w:val="16"/>
          <w:szCs w:val="16"/>
          <w:color w:val="auto"/>
        </w:rPr>
        <w:t>. This Amendment is a Loan Document, and all provisions in the Credit Agreement pertaining to Loan Documents apply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ind w:right="140" w:firstLine="656"/>
        <w:spacing w:after="0" w:line="282" w:lineRule="auto"/>
        <w:tabs>
          <w:tab w:leader="none" w:pos="783"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5.3. GOVERNING LAW. THIS AMENDMENT SHALL BE GOVERNED BY, AND CONSTRUED IN ACCORDANCE WITH, THE </w:t>
      </w:r>
      <w:r>
        <w:rPr>
          <w:rFonts w:ascii="Arial" w:cs="Arial" w:eastAsia="Arial" w:hAnsi="Arial"/>
          <w:sz w:val="18"/>
          <w:szCs w:val="18"/>
          <w:b w:val="1"/>
          <w:bCs w:val="1"/>
          <w:u w:val="single" w:color="auto"/>
          <w:color w:val="auto"/>
        </w:rPr>
        <w:t>LAWS OF THE STATE OF NEW YORK, WITHOUT REGARD TO PRINCIPLES OF CONFLICTS OF LAW</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right="100" w:firstLine="656"/>
        <w:spacing w:after="0" w:line="312" w:lineRule="auto"/>
        <w:tabs>
          <w:tab w:leader="none" w:pos="7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46" w:lineRule="exact"/>
        <w:rPr>
          <w:rFonts w:ascii="Arial" w:cs="Arial" w:eastAsia="Arial" w:hAnsi="Arial"/>
          <w:sz w:val="16"/>
          <w:szCs w:val="16"/>
          <w:color w:val="auto"/>
        </w:rPr>
      </w:pPr>
    </w:p>
    <w:p>
      <w:pPr>
        <w:ind w:right="200" w:firstLine="656"/>
        <w:spacing w:after="0" w:line="264" w:lineRule="auto"/>
        <w:tabs>
          <w:tab w:leader="none" w:pos="7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-1273175</wp:posOffset>
            </wp:positionV>
            <wp:extent cx="66871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87185"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Amendment is executed as of the date first above written.</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PAA GP LLC, its general partner</w:t>
      </w:r>
    </w:p>
    <w:p>
      <w:pPr>
        <w:spacing w:after="0" w:line="225"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PLAINS AAP, L.P., its sole member</w:t>
      </w:r>
    </w:p>
    <w:p>
      <w:pPr>
        <w:spacing w:after="0" w:line="225"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/s/ Sharon S. Spurlin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Rosanne Parsill</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Rosanne Parsill</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ectPr>
          <w:pgSz w:w="11900" w:h="16838" w:orient="portrait"/>
          <w:cols w:equalWidth="0" w:num="1">
            <w:col w:w="11420"/>
          </w:cols>
          <w:pgMar w:left="240" w:top="125" w:right="239" w:bottom="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H. Fey</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Adam H. Fey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Co-Syndication Agent and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Stephanie Balette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Stephanie Balette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Authorized signer</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DNB BANK ASA, NEW YORK BRANCH,</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Co-Documentation Agent</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Caroline Adams</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Caroline Adams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First Vice President</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Colleen Durkin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Colleen Durkin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DNB CAPITAL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spacing w:after="0"/>
              <w:rPr>
                <w:sz w:val="20"/>
                <w:szCs w:val="20"/>
                <w:color w:val="auto"/>
              </w:rPr>
            </w:pPr>
            <w:r>
              <w:rPr>
                <w:rFonts w:ascii="Arial" w:cs="Arial" w:eastAsia="Arial" w:hAnsi="Arial"/>
                <w:sz w:val="18"/>
                <w:szCs w:val="18"/>
                <w:color w:val="auto"/>
              </w:rPr>
              <w:t>/s/ Caroline Adams</w:t>
            </w: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Caroline Adams</w:t>
            </w:r>
          </w:p>
        </w:tc>
        <w:tc>
          <w:tcPr>
            <w:tcW w:w="40" w:type="dxa"/>
            <w:vAlign w:val="bottom"/>
          </w:tcPr>
          <w:p>
            <w:pPr>
              <w:spacing w:after="0"/>
              <w:rPr>
                <w:sz w:val="16"/>
                <w:szCs w:val="16"/>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60" w:type="dxa"/>
            <w:vAlign w:val="bottom"/>
            <w:gridSpan w:val="2"/>
          </w:tcPr>
          <w:p>
            <w:pPr>
              <w:spacing w:after="0"/>
              <w:rPr>
                <w:sz w:val="20"/>
                <w:szCs w:val="20"/>
                <w:color w:val="auto"/>
              </w:rPr>
            </w:pPr>
            <w:r>
              <w:rPr>
                <w:rFonts w:ascii="Arial" w:cs="Arial" w:eastAsia="Arial" w:hAnsi="Arial"/>
                <w:sz w:val="18"/>
                <w:szCs w:val="18"/>
                <w:color w:val="auto"/>
              </w:rPr>
              <w:t>First Vice President</w:t>
            </w:r>
          </w:p>
        </w:tc>
      </w:tr>
      <w:tr>
        <w:trPr>
          <w:trHeight w:val="648"/>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spacing w:after="0"/>
              <w:rPr>
                <w:sz w:val="20"/>
                <w:szCs w:val="20"/>
                <w:color w:val="auto"/>
              </w:rPr>
            </w:pPr>
            <w:r>
              <w:rPr>
                <w:rFonts w:ascii="Arial" w:cs="Arial" w:eastAsia="Arial" w:hAnsi="Arial"/>
                <w:sz w:val="18"/>
                <w:szCs w:val="18"/>
                <w:color w:val="auto"/>
              </w:rPr>
              <w:t>/s/ Colleen Durkin</w:t>
            </w: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Colleen Durkin</w:t>
            </w:r>
          </w:p>
        </w:tc>
        <w:tc>
          <w:tcPr>
            <w:tcW w:w="40" w:type="dxa"/>
            <w:vAlign w:val="bottom"/>
          </w:tcPr>
          <w:p>
            <w:pPr>
              <w:spacing w:after="0"/>
              <w:rPr>
                <w:sz w:val="16"/>
                <w:szCs w:val="16"/>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514"/>
        </w:trPr>
        <w:tc>
          <w:tcPr>
            <w:tcW w:w="6400" w:type="dxa"/>
            <w:vAlign w:val="bottom"/>
          </w:tcPr>
          <w:p>
            <w:pPr>
              <w:spacing w:after="0"/>
              <w:rPr>
                <w:sz w:val="24"/>
                <w:szCs w:val="24"/>
                <w:color w:val="auto"/>
              </w:rPr>
            </w:pPr>
          </w:p>
        </w:tc>
        <w:tc>
          <w:tcPr>
            <w:tcW w:w="5060" w:type="dxa"/>
            <w:vAlign w:val="bottom"/>
            <w:gridSpan w:val="2"/>
          </w:tcPr>
          <w:p>
            <w:pPr>
              <w:ind w:left="2860"/>
              <w:spacing w:after="0"/>
              <w:rPr>
                <w:sz w:val="20"/>
                <w:szCs w:val="20"/>
                <w:color w:val="auto"/>
              </w:rPr>
            </w:pPr>
            <w:r>
              <w:rPr>
                <w:rFonts w:ascii="Arial" w:cs="Arial" w:eastAsia="Arial" w:hAnsi="Arial"/>
                <w:sz w:val="18"/>
                <w:szCs w:val="18"/>
                <w:color w:val="auto"/>
                <w:w w:val="91"/>
              </w:rPr>
              <w:t>PAA 364-Day 1</w:t>
            </w:r>
            <w:r>
              <w:rPr>
                <w:rFonts w:ascii="Arial" w:cs="Arial" w:eastAsia="Arial" w:hAnsi="Arial"/>
                <w:sz w:val="23"/>
                <w:szCs w:val="23"/>
                <w:color w:val="auto"/>
                <w:w w:val="91"/>
                <w:vertAlign w:val="superscript"/>
              </w:rPr>
              <w:t>st</w:t>
            </w:r>
            <w:r>
              <w:rPr>
                <w:rFonts w:ascii="Arial" w:cs="Arial" w:eastAsia="Arial" w:hAnsi="Arial"/>
                <w:sz w:val="18"/>
                <w:szCs w:val="18"/>
                <w:color w:val="auto"/>
                <w:w w:val="91"/>
              </w:rPr>
              <w:t xml:space="preserve"> Amendment</w:t>
            </w:r>
          </w:p>
        </w:tc>
      </w:tr>
      <w:tr>
        <w:trPr>
          <w:trHeight w:val="350"/>
        </w:trPr>
        <w:tc>
          <w:tcPr>
            <w:tcW w:w="6400" w:type="dxa"/>
            <w:vAlign w:val="bottom"/>
          </w:tcPr>
          <w:p>
            <w:pPr>
              <w:ind w:left="5580"/>
              <w:spacing w:after="0"/>
              <w:rPr>
                <w:sz w:val="20"/>
                <w:szCs w:val="20"/>
                <w:color w:val="auto"/>
              </w:rPr>
            </w:pPr>
            <w:r>
              <w:rPr>
                <w:rFonts w:ascii="Arial" w:cs="Arial" w:eastAsia="Arial" w:hAnsi="Arial"/>
                <w:sz w:val="18"/>
                <w:szCs w:val="18"/>
                <w:color w:val="auto"/>
              </w:rPr>
              <w:t>S-5</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0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Co-Syndication Agent and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Tribolet</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Michael A. Tribolet</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451" w:gutter="0" w:footer="0" w:header="0"/>
        </w:sectPr>
      </w:pPr>
    </w:p>
    <w:bookmarkStart w:id="6" w:name="page7"/>
    <w:bookmarkEnd w:id="6"/>
    <w:p>
      <w:pPr>
        <w:ind w:left="57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Co-Syndication Agent and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Maureen P. Maroney</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Maureen P. Maroney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MIZUHO BANK, LTD.,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Co-Documentation Agent and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Ventura</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Raymond Ventura</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Deputy General Manager</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BRANCH BANKING AND TRUST COMPANY,</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Jamie Grunsky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Jamie Grunsky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Banking Officer</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DEUTSCHE BANK AG NEW YORK BRANCH,</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gridSpan w:val="2"/>
          </w:tcPr>
          <w:p>
            <w:pPr>
              <w:spacing w:after="0"/>
              <w:rPr>
                <w:sz w:val="20"/>
                <w:szCs w:val="20"/>
                <w:color w:val="auto"/>
              </w:rPr>
            </w:pPr>
            <w:r>
              <w:rPr>
                <w:rFonts w:ascii="Arial" w:cs="Arial" w:eastAsia="Arial" w:hAnsi="Arial"/>
                <w:sz w:val="18"/>
                <w:szCs w:val="18"/>
                <w:color w:val="auto"/>
              </w:rPr>
              <w:t>/s/ Virgina Cosenza</w:t>
            </w: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Virginia Cosenza</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50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gridSpan w:val="2"/>
          </w:tcPr>
          <w:p>
            <w:pPr>
              <w:spacing w:after="0"/>
              <w:rPr>
                <w:sz w:val="20"/>
                <w:szCs w:val="20"/>
                <w:color w:val="auto"/>
              </w:rPr>
            </w:pPr>
            <w:r>
              <w:rPr>
                <w:rFonts w:ascii="Arial" w:cs="Arial" w:eastAsia="Arial" w:hAnsi="Arial"/>
                <w:sz w:val="18"/>
                <w:szCs w:val="18"/>
                <w:color w:val="auto"/>
              </w:rPr>
              <w:t>/s/ Yvonne Tilden</w:t>
            </w: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Yvonne Tilden</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514"/>
        </w:trPr>
        <w:tc>
          <w:tcPr>
            <w:tcW w:w="6460" w:type="dxa"/>
            <w:vAlign w:val="bottom"/>
          </w:tcPr>
          <w:p>
            <w:pPr>
              <w:spacing w:after="0"/>
              <w:rPr>
                <w:sz w:val="24"/>
                <w:szCs w:val="24"/>
                <w:color w:val="auto"/>
              </w:rPr>
            </w:pPr>
          </w:p>
        </w:tc>
        <w:tc>
          <w:tcPr>
            <w:tcW w:w="5000" w:type="dxa"/>
            <w:vAlign w:val="bottom"/>
            <w:gridSpan w:val="2"/>
          </w:tcPr>
          <w:p>
            <w:pPr>
              <w:ind w:left="2800"/>
              <w:spacing w:after="0"/>
              <w:rPr>
                <w:sz w:val="20"/>
                <w:szCs w:val="20"/>
                <w:color w:val="auto"/>
              </w:rPr>
            </w:pPr>
            <w:r>
              <w:rPr>
                <w:rFonts w:ascii="Arial" w:cs="Arial" w:eastAsia="Arial" w:hAnsi="Arial"/>
                <w:sz w:val="18"/>
                <w:szCs w:val="18"/>
                <w:color w:val="auto"/>
                <w:w w:val="91"/>
              </w:rPr>
              <w:t>PAA 364-Day 1</w:t>
            </w:r>
            <w:r>
              <w:rPr>
                <w:rFonts w:ascii="Arial" w:cs="Arial" w:eastAsia="Arial" w:hAnsi="Arial"/>
                <w:sz w:val="23"/>
                <w:szCs w:val="23"/>
                <w:color w:val="auto"/>
                <w:w w:val="91"/>
                <w:vertAlign w:val="superscript"/>
              </w:rPr>
              <w:t>st</w:t>
            </w:r>
            <w:r>
              <w:rPr>
                <w:rFonts w:ascii="Arial" w:cs="Arial" w:eastAsia="Arial" w:hAnsi="Arial"/>
                <w:sz w:val="18"/>
                <w:szCs w:val="18"/>
                <w:color w:val="auto"/>
                <w:w w:val="91"/>
              </w:rPr>
              <w:t xml:space="preserve"> Amendment</w:t>
            </w:r>
          </w:p>
        </w:tc>
      </w:tr>
      <w:tr>
        <w:trPr>
          <w:trHeight w:val="350"/>
        </w:trPr>
        <w:tc>
          <w:tcPr>
            <w:tcW w:w="6460" w:type="dxa"/>
            <w:vAlign w:val="bottom"/>
          </w:tcPr>
          <w:p>
            <w:pPr>
              <w:ind w:left="5540"/>
              <w:spacing w:after="0"/>
              <w:rPr>
                <w:sz w:val="20"/>
                <w:szCs w:val="20"/>
                <w:color w:val="auto"/>
              </w:rPr>
            </w:pPr>
            <w:r>
              <w:rPr>
                <w:rFonts w:ascii="Arial" w:cs="Arial" w:eastAsia="Arial" w:hAnsi="Arial"/>
                <w:sz w:val="18"/>
                <w:szCs w:val="18"/>
                <w:color w:val="auto"/>
              </w:rPr>
              <w:t>S-10</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MORGAN STANLEY BANK,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Michael King</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Vanessa Kurbatskiy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14605</wp:posOffset>
            </wp:positionV>
            <wp:extent cx="31559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7" w:name="page8"/>
    <w:bookmarkEnd w:id="7"/>
    <w:p>
      <w:pPr>
        <w:ind w:left="5720"/>
        <w:spacing w:after="0"/>
        <w:tabs>
          <w:tab w:leader="none" w:pos="6440" w:val="left"/>
        </w:tabs>
        <w:rPr>
          <w:sz w:val="20"/>
          <w:szCs w:val="20"/>
          <w:color w:val="auto"/>
        </w:rPr>
      </w:pPr>
      <w:r>
        <w:rPr>
          <w:rFonts w:ascii="Arial" w:cs="Arial" w:eastAsia="Arial" w:hAnsi="Arial"/>
          <w:sz w:val="18"/>
          <w:szCs w:val="18"/>
          <w:color w:val="auto"/>
        </w:rPr>
        <w:t>Name:</w:t>
        <w:tab/>
        <w:t>Vanessa Kurbatskiy</w:t>
      </w:r>
    </w:p>
    <w:p>
      <w:pPr>
        <w:spacing w:after="0" w:line="23"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COMPASS BANK,</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 Werme</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Les Werme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BNP PARIBAS,</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gridSpan w:val="2"/>
          </w:tcPr>
          <w:p>
            <w:pPr>
              <w:spacing w:after="0"/>
              <w:rPr>
                <w:sz w:val="20"/>
                <w:szCs w:val="20"/>
                <w:color w:val="auto"/>
              </w:rPr>
            </w:pPr>
            <w:r>
              <w:rPr>
                <w:rFonts w:ascii="Arial" w:cs="Arial" w:eastAsia="Arial" w:hAnsi="Arial"/>
                <w:sz w:val="18"/>
                <w:szCs w:val="18"/>
                <w:color w:val="auto"/>
              </w:rPr>
              <w:t>/s/ Mark Renaud</w:t>
            </w: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Renaud</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5000" w:type="dxa"/>
            <w:vAlign w:val="bottom"/>
            <w:gridSpan w:val="2"/>
          </w:tcPr>
          <w:p>
            <w:pPr>
              <w:spacing w:after="0"/>
              <w:rPr>
                <w:sz w:val="20"/>
                <w:szCs w:val="20"/>
                <w:color w:val="auto"/>
              </w:rPr>
            </w:pPr>
            <w:r>
              <w:rPr>
                <w:rFonts w:ascii="Arial" w:cs="Arial" w:eastAsia="Arial" w:hAnsi="Arial"/>
                <w:sz w:val="18"/>
                <w:szCs w:val="18"/>
                <w:color w:val="auto"/>
              </w:rPr>
              <w:t>Managing Director</w:t>
            </w:r>
          </w:p>
        </w:tc>
      </w:tr>
      <w:tr>
        <w:trPr>
          <w:trHeight w:val="64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5000" w:type="dxa"/>
            <w:vAlign w:val="bottom"/>
            <w:gridSpan w:val="2"/>
          </w:tcPr>
          <w:p>
            <w:pPr>
              <w:spacing w:after="0"/>
              <w:rPr>
                <w:sz w:val="20"/>
                <w:szCs w:val="20"/>
                <w:color w:val="auto"/>
              </w:rPr>
            </w:pPr>
            <w:r>
              <w:rPr>
                <w:rFonts w:ascii="Arial" w:cs="Arial" w:eastAsia="Arial" w:hAnsi="Arial"/>
                <w:sz w:val="18"/>
                <w:szCs w:val="18"/>
                <w:color w:val="auto"/>
              </w:rPr>
              <w:t>/s/ Reginald Crichlow</w:t>
            </w: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Reginald Crichlow</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50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514"/>
        </w:trPr>
        <w:tc>
          <w:tcPr>
            <w:tcW w:w="6460" w:type="dxa"/>
            <w:vAlign w:val="bottom"/>
          </w:tcPr>
          <w:p>
            <w:pPr>
              <w:spacing w:after="0"/>
              <w:rPr>
                <w:sz w:val="24"/>
                <w:szCs w:val="24"/>
                <w:color w:val="auto"/>
              </w:rPr>
            </w:pPr>
          </w:p>
        </w:tc>
        <w:tc>
          <w:tcPr>
            <w:tcW w:w="5000" w:type="dxa"/>
            <w:vAlign w:val="bottom"/>
            <w:gridSpan w:val="2"/>
          </w:tcPr>
          <w:p>
            <w:pPr>
              <w:ind w:left="2800"/>
              <w:spacing w:after="0"/>
              <w:rPr>
                <w:sz w:val="20"/>
                <w:szCs w:val="20"/>
                <w:color w:val="auto"/>
              </w:rPr>
            </w:pPr>
            <w:r>
              <w:rPr>
                <w:rFonts w:ascii="Arial" w:cs="Arial" w:eastAsia="Arial" w:hAnsi="Arial"/>
                <w:sz w:val="18"/>
                <w:szCs w:val="18"/>
                <w:color w:val="auto"/>
                <w:w w:val="91"/>
              </w:rPr>
              <w:t>PAA 364-Day 1</w:t>
            </w:r>
            <w:r>
              <w:rPr>
                <w:rFonts w:ascii="Arial" w:cs="Arial" w:eastAsia="Arial" w:hAnsi="Arial"/>
                <w:sz w:val="23"/>
                <w:szCs w:val="23"/>
                <w:color w:val="auto"/>
                <w:w w:val="91"/>
                <w:vertAlign w:val="superscript"/>
              </w:rPr>
              <w:t>st</w:t>
            </w:r>
            <w:r>
              <w:rPr>
                <w:rFonts w:ascii="Arial" w:cs="Arial" w:eastAsia="Arial" w:hAnsi="Arial"/>
                <w:sz w:val="18"/>
                <w:szCs w:val="18"/>
                <w:color w:val="auto"/>
                <w:w w:val="91"/>
              </w:rPr>
              <w:t xml:space="preserve"> Amendment</w:t>
            </w:r>
          </w:p>
        </w:tc>
      </w:tr>
      <w:tr>
        <w:trPr>
          <w:trHeight w:val="350"/>
        </w:trPr>
        <w:tc>
          <w:tcPr>
            <w:tcW w:w="6460" w:type="dxa"/>
            <w:vAlign w:val="bottom"/>
          </w:tcPr>
          <w:p>
            <w:pPr>
              <w:ind w:left="5540"/>
              <w:spacing w:after="0"/>
              <w:rPr>
                <w:sz w:val="20"/>
                <w:szCs w:val="20"/>
                <w:color w:val="auto"/>
              </w:rPr>
            </w:pPr>
            <w:r>
              <w:rPr>
                <w:rFonts w:ascii="Arial" w:cs="Arial" w:eastAsia="Arial" w:hAnsi="Arial"/>
                <w:sz w:val="18"/>
                <w:szCs w:val="18"/>
                <w:color w:val="auto"/>
              </w:rPr>
              <w:t>S-14</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CANADIAN IMPERIAL BANK OF COMMERCE, NEW YORK</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BRANCH,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/s/ Richard Antl</w:t>
            </w:r>
          </w:p>
        </w:tc>
      </w:tr>
      <w:tr>
        <w:trPr>
          <w:trHeight w:val="195"/>
        </w:trPr>
        <w:tc>
          <w:tcPr>
            <w:tcW w:w="654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Antl</w:t>
            </w:r>
          </w:p>
        </w:tc>
        <w:tc>
          <w:tcPr>
            <w:tcW w:w="40" w:type="dxa"/>
            <w:vAlign w:val="bottom"/>
          </w:tcPr>
          <w:p>
            <w:pPr>
              <w:spacing w:after="0"/>
              <w:rPr>
                <w:sz w:val="16"/>
                <w:szCs w:val="16"/>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spacing w:after="0"/>
              <w:rPr>
                <w:sz w:val="20"/>
                <w:szCs w:val="20"/>
                <w:color w:val="auto"/>
              </w:rPr>
            </w:pPr>
            <w:r>
              <w:rPr>
                <w:rFonts w:ascii="Arial" w:cs="Arial" w:eastAsia="Arial" w:hAnsi="Arial"/>
                <w:sz w:val="18"/>
                <w:szCs w:val="18"/>
                <w:color w:val="auto"/>
              </w:rPr>
              <w:t>Authorized Signatory</w:t>
            </w:r>
          </w:p>
        </w:tc>
      </w:tr>
      <w:tr>
        <w:trPr>
          <w:trHeight w:val="648"/>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/s/ William M. Reid</w:t>
            </w:r>
          </w:p>
        </w:tc>
      </w:tr>
      <w:tr>
        <w:trPr>
          <w:trHeight w:val="195"/>
        </w:trPr>
        <w:tc>
          <w:tcPr>
            <w:tcW w:w="654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M. Reid</w:t>
            </w:r>
          </w:p>
        </w:tc>
        <w:tc>
          <w:tcPr>
            <w:tcW w:w="40" w:type="dxa"/>
            <w:vAlign w:val="bottom"/>
          </w:tcPr>
          <w:p>
            <w:pPr>
              <w:spacing w:after="0"/>
              <w:rPr>
                <w:sz w:val="16"/>
                <w:szCs w:val="16"/>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spacing w:after="0"/>
              <w:rPr>
                <w:sz w:val="20"/>
                <w:szCs w:val="20"/>
                <w:color w:val="auto"/>
              </w:rPr>
            </w:pPr>
            <w:r>
              <w:rPr>
                <w:rFonts w:ascii="Arial" w:cs="Arial" w:eastAsia="Arial" w:hAnsi="Arial"/>
                <w:sz w:val="18"/>
                <w:szCs w:val="18"/>
                <w:color w:val="auto"/>
              </w:rPr>
              <w:t>Authorized Signatory</w:t>
            </w:r>
          </w:p>
        </w:tc>
      </w:tr>
      <w:tr>
        <w:trPr>
          <w:trHeight w:val="514"/>
        </w:trPr>
        <w:tc>
          <w:tcPr>
            <w:tcW w:w="6540" w:type="dxa"/>
            <w:vAlign w:val="bottom"/>
          </w:tcPr>
          <w:p>
            <w:pPr>
              <w:spacing w:after="0"/>
              <w:rPr>
                <w:sz w:val="24"/>
                <w:szCs w:val="24"/>
                <w:color w:val="auto"/>
              </w:rPr>
            </w:pPr>
          </w:p>
        </w:tc>
        <w:tc>
          <w:tcPr>
            <w:tcW w:w="4920" w:type="dxa"/>
            <w:vAlign w:val="bottom"/>
            <w:gridSpan w:val="2"/>
          </w:tcPr>
          <w:p>
            <w:pPr>
              <w:ind w:left="2720"/>
              <w:spacing w:after="0"/>
              <w:rPr>
                <w:sz w:val="20"/>
                <w:szCs w:val="20"/>
                <w:color w:val="auto"/>
              </w:rPr>
            </w:pPr>
            <w:r>
              <w:rPr>
                <w:rFonts w:ascii="Arial" w:cs="Arial" w:eastAsia="Arial" w:hAnsi="Arial"/>
                <w:sz w:val="18"/>
                <w:szCs w:val="18"/>
                <w:color w:val="auto"/>
                <w:w w:val="91"/>
              </w:rPr>
              <w:t>PAA 364-Day 1</w:t>
            </w:r>
            <w:r>
              <w:rPr>
                <w:rFonts w:ascii="Arial" w:cs="Arial" w:eastAsia="Arial" w:hAnsi="Arial"/>
                <w:sz w:val="23"/>
                <w:szCs w:val="23"/>
                <w:color w:val="auto"/>
                <w:w w:val="91"/>
                <w:vertAlign w:val="superscript"/>
              </w:rPr>
              <w:t>st</w:t>
            </w:r>
            <w:r>
              <w:rPr>
                <w:rFonts w:ascii="Arial" w:cs="Arial" w:eastAsia="Arial" w:hAnsi="Arial"/>
                <w:sz w:val="18"/>
                <w:szCs w:val="18"/>
                <w:color w:val="auto"/>
                <w:w w:val="91"/>
              </w:rPr>
              <w:t xml:space="preserve"> Amendment</w:t>
            </w:r>
          </w:p>
        </w:tc>
      </w:tr>
      <w:tr>
        <w:trPr>
          <w:trHeight w:val="350"/>
        </w:trPr>
        <w:tc>
          <w:tcPr>
            <w:tcW w:w="6540" w:type="dxa"/>
            <w:vAlign w:val="bottom"/>
          </w:tcPr>
          <w:p>
            <w:pPr>
              <w:ind w:left="5540"/>
              <w:spacing w:after="0"/>
              <w:rPr>
                <w:sz w:val="20"/>
                <w:szCs w:val="20"/>
                <w:color w:val="auto"/>
              </w:rPr>
            </w:pPr>
            <w:r>
              <w:rPr>
                <w:rFonts w:ascii="Arial" w:cs="Arial" w:eastAsia="Arial" w:hAnsi="Arial"/>
                <w:sz w:val="18"/>
                <w:szCs w:val="18"/>
                <w:color w:val="auto"/>
              </w:rPr>
              <w:t>S-15</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4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ROYAL BANK OF CANADA,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Caleb Allen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Caleb Allen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SUMITOMO MITSUI BANKING CORPORATION,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ectPr>
          <w:pgSz w:w="11900" w:h="16838" w:orient="portrait"/>
          <w:cols w:equalWidth="0" w:num="1">
            <w:col w:w="11460"/>
          </w:cols>
          <w:pgMar w:left="240" w:top="125" w:right="199" w:bottom="0" w:gutter="0" w:footer="0" w:header="0"/>
        </w:sectPr>
      </w:pPr>
    </w:p>
    <w:bookmarkStart w:id="8" w:name="page9"/>
    <w:bookmarkEnd w:id="8"/>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D. Weinstein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James D. Weinstein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Chulley Bogle</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Chulley Bogle</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BANK OF NOVA SCOTIA,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Sparrow</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Mark Sparrow</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BANK OF TOKYO-MITSUBISHI UFJ, LTD.,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Oberreuter</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Mark Oberreuter</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UBS AG, STAMFORD BRANCH,</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/s/ James Morgan</w:t>
            </w:r>
          </w:p>
        </w:tc>
      </w:tr>
      <w:tr>
        <w:trPr>
          <w:trHeight w:val="195"/>
        </w:trPr>
        <w:tc>
          <w:tcPr>
            <w:tcW w:w="654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Morgan</w:t>
            </w:r>
          </w:p>
        </w:tc>
        <w:tc>
          <w:tcPr>
            <w:tcW w:w="40" w:type="dxa"/>
            <w:vAlign w:val="bottom"/>
          </w:tcPr>
          <w:p>
            <w:pPr>
              <w:spacing w:after="0"/>
              <w:rPr>
                <w:sz w:val="16"/>
                <w:szCs w:val="16"/>
                <w:color w:val="auto"/>
              </w:rPr>
            </w:pPr>
          </w:p>
        </w:tc>
      </w:tr>
      <w:tr>
        <w:trPr>
          <w:trHeight w:val="216"/>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spacing w:after="0"/>
              <w:rPr>
                <w:sz w:val="20"/>
                <w:szCs w:val="20"/>
                <w:color w:val="auto"/>
              </w:rPr>
            </w:pPr>
            <w:r>
              <w:rPr>
                <w:rFonts w:ascii="Arial" w:cs="Arial" w:eastAsia="Arial" w:hAnsi="Arial"/>
                <w:sz w:val="18"/>
                <w:szCs w:val="18"/>
                <w:color w:val="auto"/>
              </w:rPr>
              <w:t>Executive Director</w:t>
            </w:r>
          </w:p>
        </w:tc>
      </w:tr>
      <w:tr>
        <w:trPr>
          <w:trHeight w:val="216"/>
        </w:trPr>
        <w:tc>
          <w:tcPr>
            <w:tcW w:w="654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Regional Functional Head</w:t>
            </w:r>
          </w:p>
        </w:tc>
      </w:tr>
      <w:tr>
        <w:trPr>
          <w:trHeight w:val="230"/>
        </w:trPr>
        <w:tc>
          <w:tcPr>
            <w:tcW w:w="654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Banking Product Services US</w:t>
            </w:r>
          </w:p>
        </w:tc>
      </w:tr>
      <w:tr>
        <w:trPr>
          <w:trHeight w:val="648"/>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/s/ Darlene Arias</w:t>
            </w:r>
          </w:p>
        </w:tc>
      </w:tr>
      <w:tr>
        <w:trPr>
          <w:trHeight w:val="195"/>
        </w:trPr>
        <w:tc>
          <w:tcPr>
            <w:tcW w:w="654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Darlene Arias</w:t>
            </w:r>
          </w:p>
        </w:tc>
        <w:tc>
          <w:tcPr>
            <w:tcW w:w="40" w:type="dxa"/>
            <w:vAlign w:val="bottom"/>
          </w:tcPr>
          <w:p>
            <w:pPr>
              <w:spacing w:after="0"/>
              <w:rPr>
                <w:sz w:val="16"/>
                <w:szCs w:val="16"/>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514"/>
        </w:trPr>
        <w:tc>
          <w:tcPr>
            <w:tcW w:w="6540" w:type="dxa"/>
            <w:vAlign w:val="bottom"/>
          </w:tcPr>
          <w:p>
            <w:pPr>
              <w:spacing w:after="0"/>
              <w:rPr>
                <w:sz w:val="24"/>
                <w:szCs w:val="24"/>
                <w:color w:val="auto"/>
              </w:rPr>
            </w:pPr>
          </w:p>
        </w:tc>
        <w:tc>
          <w:tcPr>
            <w:tcW w:w="4920" w:type="dxa"/>
            <w:vAlign w:val="bottom"/>
            <w:gridSpan w:val="2"/>
          </w:tcPr>
          <w:p>
            <w:pPr>
              <w:ind w:left="2720"/>
              <w:spacing w:after="0"/>
              <w:rPr>
                <w:sz w:val="20"/>
                <w:szCs w:val="20"/>
                <w:color w:val="auto"/>
              </w:rPr>
            </w:pPr>
            <w:r>
              <w:rPr>
                <w:rFonts w:ascii="Arial" w:cs="Arial" w:eastAsia="Arial" w:hAnsi="Arial"/>
                <w:sz w:val="18"/>
                <w:szCs w:val="18"/>
                <w:color w:val="auto"/>
                <w:w w:val="91"/>
              </w:rPr>
              <w:t>PAA 364-Day 1</w:t>
            </w:r>
            <w:r>
              <w:rPr>
                <w:rFonts w:ascii="Arial" w:cs="Arial" w:eastAsia="Arial" w:hAnsi="Arial"/>
                <w:sz w:val="23"/>
                <w:szCs w:val="23"/>
                <w:color w:val="auto"/>
                <w:w w:val="91"/>
                <w:vertAlign w:val="superscript"/>
              </w:rPr>
              <w:t>st</w:t>
            </w:r>
            <w:r>
              <w:rPr>
                <w:rFonts w:ascii="Arial" w:cs="Arial" w:eastAsia="Arial" w:hAnsi="Arial"/>
                <w:sz w:val="18"/>
                <w:szCs w:val="18"/>
                <w:color w:val="auto"/>
                <w:w w:val="91"/>
              </w:rPr>
              <w:t xml:space="preserve"> Amendment</w:t>
            </w:r>
          </w:p>
        </w:tc>
      </w:tr>
      <w:tr>
        <w:trPr>
          <w:trHeight w:val="350"/>
        </w:trPr>
        <w:tc>
          <w:tcPr>
            <w:tcW w:w="6540" w:type="dxa"/>
            <w:vAlign w:val="bottom"/>
          </w:tcPr>
          <w:p>
            <w:pPr>
              <w:ind w:left="5540"/>
              <w:spacing w:after="0"/>
              <w:rPr>
                <w:sz w:val="20"/>
                <w:szCs w:val="20"/>
                <w:color w:val="auto"/>
              </w:rPr>
            </w:pPr>
            <w:r>
              <w:rPr>
                <w:rFonts w:ascii="Arial" w:cs="Arial" w:eastAsia="Arial" w:hAnsi="Arial"/>
                <w:sz w:val="18"/>
                <w:szCs w:val="18"/>
                <w:color w:val="auto"/>
              </w:rPr>
              <w:t>S-21</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4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BMO HARRIS BANK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Gumaro Tijerina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14605</wp:posOffset>
            </wp:positionV>
            <wp:extent cx="31045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9" w:name="page10"/>
    <w:bookmarkEnd w:id="9"/>
    <w:p>
      <w:pPr>
        <w:ind w:left="572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Gumaro Tijerina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Managing Director</w:t>
      </w:r>
    </w:p>
    <w:p>
      <w:pPr>
        <w:spacing w:after="0" w:line="222" w:lineRule="exact"/>
        <w:rPr>
          <w:sz w:val="20"/>
          <w:szCs w:val="20"/>
          <w:color w:val="auto"/>
        </w:rPr>
      </w:pPr>
    </w:p>
    <w:p>
      <w:pPr>
        <w:sectPr>
          <w:pgSz w:w="11900" w:h="16838" w:orient="portrait"/>
          <w:cols w:equalWidth="0" w:num="2">
            <w:col w:w="6200" w:space="340"/>
            <w:col w:w="4920"/>
          </w:cols>
          <w:pgMar w:left="240" w:top="125" w:right="199" w:bottom="0" w:gutter="0" w:footer="0" w:header="0"/>
        </w:sectPr>
      </w:pPr>
    </w:p>
    <w:p>
      <w:pPr>
        <w:spacing w:after="0" w:line="1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ING CAPITAL LLC,</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680"/>
              <w:spacing w:after="0"/>
              <w:rPr>
                <w:sz w:val="20"/>
                <w:szCs w:val="20"/>
                <w:color w:val="auto"/>
              </w:rPr>
            </w:pPr>
            <w:r>
              <w:rPr>
                <w:rFonts w:ascii="Arial" w:cs="Arial" w:eastAsia="Arial" w:hAnsi="Arial"/>
                <w:sz w:val="18"/>
                <w:szCs w:val="18"/>
                <w:color w:val="auto"/>
              </w:rPr>
              <w:t>By:</w:t>
            </w:r>
          </w:p>
        </w:tc>
        <w:tc>
          <w:tcPr>
            <w:tcW w:w="5000" w:type="dxa"/>
            <w:vAlign w:val="bottom"/>
            <w:gridSpan w:val="2"/>
          </w:tcPr>
          <w:p>
            <w:pPr>
              <w:spacing w:after="0"/>
              <w:rPr>
                <w:sz w:val="20"/>
                <w:szCs w:val="20"/>
                <w:color w:val="auto"/>
              </w:rPr>
            </w:pPr>
            <w:r>
              <w:rPr>
                <w:rFonts w:ascii="Arial" w:cs="Arial" w:eastAsia="Arial" w:hAnsi="Arial"/>
                <w:sz w:val="18"/>
                <w:szCs w:val="18"/>
                <w:color w:val="auto"/>
              </w:rPr>
              <w:t>/s/ Subha Pasumarti</w:t>
            </w:r>
          </w:p>
        </w:tc>
      </w:tr>
      <w:tr>
        <w:trPr>
          <w:trHeight w:val="195"/>
        </w:trPr>
        <w:tc>
          <w:tcPr>
            <w:tcW w:w="6460" w:type="dxa"/>
            <w:vAlign w:val="bottom"/>
          </w:tcPr>
          <w:p>
            <w:pPr>
              <w:ind w:left="5680"/>
              <w:spacing w:after="0" w:line="195" w:lineRule="exact"/>
              <w:rPr>
                <w:sz w:val="20"/>
                <w:szCs w:val="20"/>
                <w:color w:val="auto"/>
              </w:rPr>
            </w:pPr>
            <w:r>
              <w:rPr>
                <w:rFonts w:ascii="Arial" w:cs="Arial" w:eastAsia="Arial" w:hAnsi="Arial"/>
                <w:sz w:val="18"/>
                <w:szCs w:val="18"/>
                <w:color w:val="auto"/>
              </w:rPr>
              <w:t>Name:</w:t>
            </w: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Subha Pasumarti</w:t>
            </w:r>
          </w:p>
        </w:tc>
        <w:tc>
          <w:tcPr>
            <w:tcW w:w="160" w:type="dxa"/>
            <w:vAlign w:val="bottom"/>
          </w:tcPr>
          <w:p>
            <w:pPr>
              <w:spacing w:after="0"/>
              <w:rPr>
                <w:sz w:val="16"/>
                <w:szCs w:val="16"/>
                <w:color w:val="auto"/>
              </w:rPr>
            </w:pPr>
          </w:p>
        </w:tc>
      </w:tr>
      <w:tr>
        <w:trPr>
          <w:trHeight w:val="230"/>
        </w:trPr>
        <w:tc>
          <w:tcPr>
            <w:tcW w:w="6460" w:type="dxa"/>
            <w:vAlign w:val="bottom"/>
          </w:tcPr>
          <w:p>
            <w:pPr>
              <w:ind w:left="5680"/>
              <w:spacing w:after="0"/>
              <w:rPr>
                <w:sz w:val="20"/>
                <w:szCs w:val="20"/>
                <w:color w:val="auto"/>
              </w:rPr>
            </w:pPr>
            <w:r>
              <w:rPr>
                <w:rFonts w:ascii="Arial" w:cs="Arial" w:eastAsia="Arial" w:hAnsi="Arial"/>
                <w:sz w:val="18"/>
                <w:szCs w:val="18"/>
                <w:color w:val="auto"/>
              </w:rPr>
              <w:t>Title:</w:t>
            </w:r>
          </w:p>
        </w:tc>
        <w:tc>
          <w:tcPr>
            <w:tcW w:w="5000" w:type="dxa"/>
            <w:vAlign w:val="bottom"/>
            <w:gridSpan w:val="2"/>
          </w:tcPr>
          <w:p>
            <w:pPr>
              <w:spacing w:after="0"/>
              <w:rPr>
                <w:sz w:val="20"/>
                <w:szCs w:val="20"/>
                <w:color w:val="auto"/>
              </w:rPr>
            </w:pPr>
            <w:r>
              <w:rPr>
                <w:rFonts w:ascii="Arial" w:cs="Arial" w:eastAsia="Arial" w:hAnsi="Arial"/>
                <w:sz w:val="18"/>
                <w:szCs w:val="18"/>
                <w:color w:val="auto"/>
              </w:rPr>
              <w:t>Managing Director</w:t>
            </w:r>
          </w:p>
        </w:tc>
      </w:tr>
      <w:tr>
        <w:trPr>
          <w:trHeight w:val="648"/>
        </w:trPr>
        <w:tc>
          <w:tcPr>
            <w:tcW w:w="6460" w:type="dxa"/>
            <w:vAlign w:val="bottom"/>
          </w:tcPr>
          <w:p>
            <w:pPr>
              <w:ind w:left="5680"/>
              <w:spacing w:after="0"/>
              <w:rPr>
                <w:sz w:val="20"/>
                <w:szCs w:val="20"/>
                <w:color w:val="auto"/>
              </w:rPr>
            </w:pPr>
            <w:r>
              <w:rPr>
                <w:rFonts w:ascii="Arial" w:cs="Arial" w:eastAsia="Arial" w:hAnsi="Arial"/>
                <w:sz w:val="18"/>
                <w:szCs w:val="18"/>
                <w:color w:val="auto"/>
              </w:rPr>
              <w:t>By:</w:t>
            </w:r>
          </w:p>
        </w:tc>
        <w:tc>
          <w:tcPr>
            <w:tcW w:w="5000" w:type="dxa"/>
            <w:vAlign w:val="bottom"/>
            <w:gridSpan w:val="2"/>
          </w:tcPr>
          <w:p>
            <w:pPr>
              <w:spacing w:after="0"/>
              <w:rPr>
                <w:sz w:val="20"/>
                <w:szCs w:val="20"/>
                <w:color w:val="auto"/>
              </w:rPr>
            </w:pPr>
            <w:r>
              <w:rPr>
                <w:rFonts w:ascii="Arial" w:cs="Arial" w:eastAsia="Arial" w:hAnsi="Arial"/>
                <w:sz w:val="18"/>
                <w:szCs w:val="18"/>
                <w:color w:val="auto"/>
              </w:rPr>
              <w:t>/s/ Hans Beekmans</w:t>
            </w:r>
          </w:p>
        </w:tc>
      </w:tr>
      <w:tr>
        <w:trPr>
          <w:trHeight w:val="195"/>
        </w:trPr>
        <w:tc>
          <w:tcPr>
            <w:tcW w:w="6460" w:type="dxa"/>
            <w:vAlign w:val="bottom"/>
          </w:tcPr>
          <w:p>
            <w:pPr>
              <w:ind w:left="5680"/>
              <w:spacing w:after="0" w:line="195" w:lineRule="exact"/>
              <w:rPr>
                <w:sz w:val="20"/>
                <w:szCs w:val="20"/>
                <w:color w:val="auto"/>
              </w:rPr>
            </w:pPr>
            <w:r>
              <w:rPr>
                <w:rFonts w:ascii="Arial" w:cs="Arial" w:eastAsia="Arial" w:hAnsi="Arial"/>
                <w:sz w:val="18"/>
                <w:szCs w:val="18"/>
                <w:color w:val="auto"/>
              </w:rPr>
              <w:t>Name:</w:t>
            </w: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Hans Beekmans</w:t>
            </w:r>
          </w:p>
        </w:tc>
        <w:tc>
          <w:tcPr>
            <w:tcW w:w="160" w:type="dxa"/>
            <w:vAlign w:val="bottom"/>
          </w:tcPr>
          <w:p>
            <w:pPr>
              <w:spacing w:after="0"/>
              <w:rPr>
                <w:sz w:val="16"/>
                <w:szCs w:val="16"/>
                <w:color w:val="auto"/>
              </w:rPr>
            </w:pPr>
          </w:p>
        </w:tc>
      </w:tr>
      <w:tr>
        <w:trPr>
          <w:trHeight w:val="230"/>
        </w:trPr>
        <w:tc>
          <w:tcPr>
            <w:tcW w:w="6460" w:type="dxa"/>
            <w:vAlign w:val="bottom"/>
          </w:tcPr>
          <w:p>
            <w:pPr>
              <w:ind w:left="5680"/>
              <w:spacing w:after="0"/>
              <w:rPr>
                <w:sz w:val="20"/>
                <w:szCs w:val="20"/>
                <w:color w:val="auto"/>
              </w:rPr>
            </w:pPr>
            <w:r>
              <w:rPr>
                <w:rFonts w:ascii="Arial" w:cs="Arial" w:eastAsia="Arial" w:hAnsi="Arial"/>
                <w:sz w:val="18"/>
                <w:szCs w:val="18"/>
                <w:color w:val="auto"/>
              </w:rPr>
              <w:t>Title:</w:t>
            </w: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514"/>
        </w:trPr>
        <w:tc>
          <w:tcPr>
            <w:tcW w:w="6460" w:type="dxa"/>
            <w:vAlign w:val="bottom"/>
          </w:tcPr>
          <w:p>
            <w:pPr>
              <w:spacing w:after="0"/>
              <w:rPr>
                <w:sz w:val="24"/>
                <w:szCs w:val="24"/>
                <w:color w:val="auto"/>
              </w:rPr>
            </w:pPr>
          </w:p>
        </w:tc>
        <w:tc>
          <w:tcPr>
            <w:tcW w:w="5000" w:type="dxa"/>
            <w:vAlign w:val="bottom"/>
            <w:gridSpan w:val="2"/>
          </w:tcPr>
          <w:p>
            <w:pPr>
              <w:ind w:left="2800"/>
              <w:spacing w:after="0"/>
              <w:rPr>
                <w:sz w:val="20"/>
                <w:szCs w:val="20"/>
                <w:color w:val="auto"/>
              </w:rPr>
            </w:pPr>
            <w:r>
              <w:rPr>
                <w:rFonts w:ascii="Arial" w:cs="Arial" w:eastAsia="Arial" w:hAnsi="Arial"/>
                <w:sz w:val="18"/>
                <w:szCs w:val="18"/>
                <w:color w:val="auto"/>
                <w:w w:val="91"/>
              </w:rPr>
              <w:t>PAA 364-Day 1</w:t>
            </w:r>
            <w:r>
              <w:rPr>
                <w:rFonts w:ascii="Arial" w:cs="Arial" w:eastAsia="Arial" w:hAnsi="Arial"/>
                <w:sz w:val="23"/>
                <w:szCs w:val="23"/>
                <w:color w:val="auto"/>
                <w:w w:val="91"/>
                <w:vertAlign w:val="superscript"/>
              </w:rPr>
              <w:t>st</w:t>
            </w:r>
            <w:r>
              <w:rPr>
                <w:rFonts w:ascii="Arial" w:cs="Arial" w:eastAsia="Arial" w:hAnsi="Arial"/>
                <w:sz w:val="18"/>
                <w:szCs w:val="18"/>
                <w:color w:val="auto"/>
                <w:w w:val="91"/>
              </w:rPr>
              <w:t xml:space="preserve"> Amendment</w:t>
            </w:r>
          </w:p>
        </w:tc>
      </w:tr>
      <w:tr>
        <w:trPr>
          <w:trHeight w:val="350"/>
        </w:trPr>
        <w:tc>
          <w:tcPr>
            <w:tcW w:w="6460" w:type="dxa"/>
            <w:vAlign w:val="bottom"/>
          </w:tcPr>
          <w:p>
            <w:pPr>
              <w:ind w:left="5540"/>
              <w:spacing w:after="0"/>
              <w:rPr>
                <w:sz w:val="20"/>
                <w:szCs w:val="20"/>
                <w:color w:val="auto"/>
              </w:rPr>
            </w:pPr>
            <w:r>
              <w:rPr>
                <w:rFonts w:ascii="Arial" w:cs="Arial" w:eastAsia="Arial" w:hAnsi="Arial"/>
                <w:sz w:val="18"/>
                <w:szCs w:val="18"/>
                <w:color w:val="auto"/>
              </w:rPr>
              <w:t>S-23</w:t>
            </w:r>
          </w:p>
        </w:tc>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REGIONS BANK,</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Valentine</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David Valentine</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SOCIÉTÉ GÉNÉRALE,</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Michiel van der Voort</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Michiel van der Voort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Jeffrey</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Patrick Jeffrey</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He</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Denise He</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PAA 364-Day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w:t>
      </w:r>
    </w:p>
    <w:p>
      <w:pPr>
        <w:sectPr>
          <w:pgSz w:w="11900" w:h="16838" w:orient="portrait"/>
          <w:cols w:equalWidth="0" w:num="1">
            <w:col w:w="11460"/>
          </w:cols>
          <w:pgMar w:left="240" w:top="125" w:right="199"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6"/>
          <w:szCs w:val="16"/>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lvl w:ilvl="1">
      <w:lvlJc w:val="left"/>
      <w:lvlText w:val="(%2)"/>
      <w:numFmt w:val="lowerRoman"/>
      <w:start w:val="1"/>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2020-01-24T07:11:21Z</dcterms:created>
  <dcterms:modified xsi:type="dcterms:W3CDTF">2020-01-24T07:11:21Z</dcterms:modified>
</cp:coreProperties>
</file>